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ind w:start="6624" w:end="0"/>
        <w:rPr>
          <w:b/>
        </w:rPr>
      </w:pPr>
      <w:r>
        <w:rPr>
          <w:b/>
        </w:rPr>
        <w:t>Confidential</w:t>
      </w:r>
    </w:p>
    <w:p>
      <w:pPr>
        <w:pStyle w:val="Header"/>
        <w:ind w:start="6624" w:end="0"/>
        <w:rPr>
          <w:b/>
        </w:rPr>
      </w:pPr>
      <w:r>
        <w:rPr>
          <w:b/>
        </w:rPr>
        <w:t>Attorney Client Privileged</w:t>
      </w:r>
    </w:p>
    <w:p>
      <w:pPr>
        <w:pStyle w:val="Header"/>
        <w:ind w:start="6624" w:end="0"/>
        <w:rPr>
          <w:b/>
        </w:rPr>
      </w:pPr>
      <w:r>
        <w:rPr>
          <w:b/>
        </w:rPr>
        <w:t>Not Discoverable</w:t>
      </w:r>
    </w:p>
    <w:p>
      <w:pPr>
        <w:pStyle w:val="Heading1"/>
        <w:ind w:hanging="0" w:start="0"/>
        <w:jc w:val="end"/>
        <w:rPr>
          <w:b/>
          <w:sz w:val="22"/>
        </w:rPr>
      </w:pPr>
      <w:r>
        <w:rPr>
          <w:b/>
          <w:sz w:val="22"/>
        </w:rPr>
      </w:r>
    </w:p>
    <w:p>
      <w:pPr>
        <w:pStyle w:val="Heading1"/>
        <w:ind w:hanging="0" w:start="0"/>
        <w:jc w:val="end"/>
        <w:rPr>
          <w:b/>
          <w:sz w:val="22"/>
        </w:rPr>
      </w:pPr>
      <w:r>
        <w:rPr>
          <w:b/>
          <w:sz w:val="22"/>
        </w:rPr>
        <w:t>DAP Nov. 27, 00</w:t>
      </w:r>
    </w:p>
    <w:p>
      <w:pPr>
        <w:pStyle w:val="Normal"/>
        <w:rPr>
          <w:b/>
          <w:sz w:val="22"/>
        </w:rPr>
      </w:pPr>
      <w:r>
        <w:rPr>
          <w:b/>
          <w:sz w:val="22"/>
        </w:rPr>
      </w:r>
    </w:p>
    <w:p>
      <w:pPr>
        <w:pStyle w:val="Normal"/>
        <w:rPr/>
      </w:pPr>
      <w:r>
        <w:rPr/>
        <w:t>RE disputed disavowal of January 15 1996 Letter Agreement for EPMI sales to MECs, and payment deadline dispute</w:t>
      </w:r>
    </w:p>
    <w:p>
      <w:pPr>
        <w:pStyle w:val="Normal"/>
        <w:ind w:start="360" w:end="0"/>
        <w:rPr/>
      </w:pPr>
      <w:r>
        <w:rPr/>
      </w:r>
    </w:p>
    <w:p>
      <w:pPr>
        <w:pStyle w:val="Normal"/>
        <w:rPr/>
      </w:pPr>
      <w:r>
        <w:rPr/>
        <w:t xml:space="preserve">I.  11-22-00 notes for communication to MECS (Bill Keyser tel 517-788-2044): </w:t>
      </w:r>
    </w:p>
    <w:p>
      <w:pPr>
        <w:pStyle w:val="Normal"/>
        <w:ind w:start="360" w:end="0"/>
        <w:rPr/>
      </w:pPr>
      <w:r>
        <w:rPr/>
      </w:r>
    </w:p>
    <w:p>
      <w:pPr>
        <w:pStyle w:val="Normal"/>
        <w:numPr>
          <w:ilvl w:val="0"/>
          <w:numId w:val="3"/>
        </w:numPr>
        <w:rPr/>
      </w:pPr>
      <w:r>
        <w:rPr/>
        <w:t xml:space="preserve">We </w:t>
      </w:r>
      <w:r>
        <w:rPr>
          <w:b/>
          <w:bCs/>
        </w:rPr>
        <w:t>had and relied upon a mid 1998 (at least prior to March 23, 1998) verbal communication</w:t>
      </w:r>
      <w:r>
        <w:rPr/>
        <w:t xml:space="preserve"> from MECs or its representative to our documentation group, apparently not insisting on a written communication, then moved to the EPMI long form confirmation used when no underlying enabling agreement in place.   </w:t>
      </w:r>
    </w:p>
    <w:p>
      <w:pPr>
        <w:pStyle w:val="Normal"/>
        <w:ind w:start="360" w:end="0"/>
        <w:rPr/>
      </w:pPr>
      <w:r>
        <w:rPr/>
      </w:r>
    </w:p>
    <w:p>
      <w:pPr>
        <w:pStyle w:val="BodyTextIndent"/>
        <w:rPr/>
      </w:pPr>
      <w:r>
        <w:rPr/>
        <w:t xml:space="preserve">[MECs problem is joint and several liability of Consumers and Detroit Edison?]  </w:t>
      </w:r>
    </w:p>
    <w:p>
      <w:pPr>
        <w:pStyle w:val="Normal"/>
        <w:ind w:start="1440" w:end="0"/>
        <w:rPr/>
      </w:pPr>
      <w:r>
        <w:rPr/>
      </w:r>
    </w:p>
    <w:p>
      <w:pPr>
        <w:pStyle w:val="Normal"/>
        <w:ind w:start="1440" w:end="0"/>
        <w:rPr/>
      </w:pPr>
      <w:r>
        <w:rPr>
          <w:b/>
          <w:bCs/>
        </w:rPr>
        <w:t xml:space="preserve">EPMI didn’t assert </w:t>
      </w:r>
      <w:r>
        <w:rPr>
          <w:b/>
          <w:bCs/>
          <w:i/>
          <w:iCs/>
        </w:rPr>
        <w:t>its</w:t>
      </w:r>
      <w:r>
        <w:rPr>
          <w:b/>
          <w:bCs/>
        </w:rPr>
        <w:t xml:space="preserve"> rights</w:t>
      </w:r>
      <w:r>
        <w:rPr/>
        <w:t xml:space="preserve"> under the Letter agreement </w:t>
      </w:r>
      <w:r>
        <w:rPr>
          <w:b/>
          <w:bCs/>
        </w:rPr>
        <w:t>to a writing</w:t>
      </w:r>
      <w:r>
        <w:rPr/>
        <w:t xml:space="preserve"> from MECs or whoever signs things for MECs.</w:t>
      </w:r>
    </w:p>
    <w:p>
      <w:pPr>
        <w:pStyle w:val="Normal"/>
        <w:ind w:start="1440" w:end="0"/>
        <w:rPr/>
      </w:pPr>
      <w:r>
        <w:rPr/>
      </w:r>
    </w:p>
    <w:p>
      <w:pPr>
        <w:pStyle w:val="Normal"/>
        <w:ind w:start="1440" w:end="0"/>
        <w:rPr/>
      </w:pPr>
      <w:r>
        <w:rPr/>
        <w:t xml:space="preserve"> </w:t>
      </w:r>
      <w:r>
        <w:rPr>
          <w:b/>
          <w:bCs/>
        </w:rPr>
        <w:t>EPMI</w:t>
      </w:r>
      <w:r>
        <w:rPr/>
        <w:t xml:space="preserve"> </w:t>
      </w:r>
      <w:r>
        <w:rPr>
          <w:b/>
          <w:bCs/>
        </w:rPr>
        <w:t>effectively sent a termination notice by sending a long form confirmation which acknowledged that no underlying enabling agreement was in place</w:t>
      </w:r>
      <w:r>
        <w:rPr/>
        <w:t xml:space="preserve"> -- these were repeatedly countersigned by MECs.</w:t>
      </w:r>
    </w:p>
    <w:p>
      <w:pPr>
        <w:pStyle w:val="Normal"/>
        <w:ind w:start="360" w:end="0"/>
        <w:rPr/>
      </w:pPr>
      <w:r>
        <w:rPr/>
      </w:r>
    </w:p>
    <w:p>
      <w:pPr>
        <w:pStyle w:val="Normal"/>
        <w:numPr>
          <w:ilvl w:val="0"/>
          <w:numId w:val="3"/>
        </w:numPr>
        <w:rPr/>
      </w:pPr>
      <w:r>
        <w:rPr/>
        <w:t>The long form confirmation’s Annex A  is a ‘stand alone’ master and created an enabling agreement for the short term trades which were not subject to a written confirmation.</w:t>
      </w:r>
    </w:p>
    <w:p>
      <w:pPr>
        <w:pStyle w:val="Normal"/>
        <w:rPr/>
      </w:pPr>
      <w:r>
        <w:rPr/>
      </w:r>
    </w:p>
    <w:p>
      <w:pPr>
        <w:pStyle w:val="Normal"/>
        <w:numPr>
          <w:ilvl w:val="0"/>
          <w:numId w:val="3"/>
        </w:numPr>
        <w:rPr/>
      </w:pPr>
      <w:r>
        <w:rPr>
          <w:b/>
          <w:bCs/>
        </w:rPr>
        <w:t>Course of dealing</w:t>
      </w:r>
      <w:r>
        <w:rPr/>
        <w:t xml:space="preserve"> for 2 ½ years establishes that the 1996 letter agreement no longer supports the parties’ transactions but rather, Annex A to the long form confiirmation supports EPMI sales to MECS.</w:t>
      </w:r>
    </w:p>
    <w:p>
      <w:pPr>
        <w:pStyle w:val="Normal"/>
        <w:rPr/>
      </w:pPr>
      <w:r>
        <w:rPr/>
      </w:r>
    </w:p>
    <w:p>
      <w:pPr>
        <w:pStyle w:val="Normal"/>
        <w:numPr>
          <w:ilvl w:val="0"/>
          <w:numId w:val="3"/>
        </w:numPr>
        <w:rPr/>
      </w:pPr>
      <w:r>
        <w:rPr/>
        <w:t xml:space="preserve">The </w:t>
      </w:r>
      <w:r>
        <w:rPr>
          <w:b/>
          <w:bCs/>
        </w:rPr>
        <w:t>specific issue</w:t>
      </w:r>
      <w:r>
        <w:rPr/>
        <w:t xml:space="preserve"> which brought this into discussion is the specific term relating to when payment is due after invoice received by MECs.  </w:t>
      </w:r>
      <w:r>
        <w:rPr>
          <w:b/>
          <w:bCs/>
        </w:rPr>
        <w:t>Signed agreements indicate 5 days after invoice receipt.</w:t>
      </w:r>
      <w:r>
        <w:rPr/>
        <w:t xml:space="preserve"> I have been authorized to discuss this with MECs –by Adjusting Annex A timeframe to a longer period [not exceeding 10 days].</w:t>
      </w:r>
    </w:p>
    <w:p>
      <w:pPr>
        <w:pStyle w:val="Normal"/>
        <w:rPr/>
      </w:pPr>
      <w:r>
        <w:rPr/>
      </w:r>
    </w:p>
    <w:p>
      <w:pPr>
        <w:pStyle w:val="Normal"/>
        <w:numPr>
          <w:ilvl w:val="0"/>
          <w:numId w:val="3"/>
        </w:numPr>
        <w:rPr/>
      </w:pPr>
      <w:r>
        <w:rPr/>
        <w:t xml:space="preserve">BIGGER PICTURE:  The </w:t>
      </w:r>
      <w:r>
        <w:rPr>
          <w:b/>
          <w:bCs/>
        </w:rPr>
        <w:t>1996 Letter Agreement</w:t>
      </w:r>
      <w:r>
        <w:rPr/>
        <w:t xml:space="preserve"> is no longer supporting EPMI sales to MECs.  At best, when in effect, EPMI used it for short term trades with MECs, its presence </w:t>
      </w:r>
      <w:r>
        <w:rPr>
          <w:b/>
          <w:bCs/>
        </w:rPr>
        <w:t xml:space="preserve">severely limited the trading activities EPMI was willing to undertake </w:t>
      </w:r>
      <w:r>
        <w:rPr/>
        <w:t xml:space="preserve">with MECs.  Additional issues present also, agency matters and outdated provision about termination in the event of Force Majeure. A draft Sales Agreement was forwarded in Jan. 1999 by attorney Kenton Erwin to move the relationship to a master agreement from the long form confirmation format and was not taken up with EPMI by MECs.  No EOL trading is being done by MECs. </w:t>
      </w:r>
      <w:r>
        <w:rPr>
          <w:b/>
          <w:bCs/>
        </w:rPr>
        <w:t xml:space="preserve">In view of MECS being anticipated to cease activities on behalf of DE and Consumers in February ‘01, we should simply reach a resolution on the billling issue and EPMI will reflect it in the long form confirmations.  </w:t>
      </w:r>
      <w:r>
        <w:rPr/>
        <w:t xml:space="preserve">   </w:t>
      </w:r>
    </w:p>
    <w:p>
      <w:pPr>
        <w:pStyle w:val="Normal"/>
        <w:rPr/>
      </w:pPr>
      <w:r>
        <w:rPr/>
      </w:r>
    </w:p>
    <w:p>
      <w:pPr>
        <w:pStyle w:val="Normal"/>
        <w:ind w:start="360" w:end="0"/>
        <w:rPr/>
      </w:pPr>
      <w:r>
        <w:rPr/>
        <w:t>[IF MECS insists on a technical reading of the defunct 1996 agreement, I will set in motion the formal cancellation notice of the 1996 document and 30 days from that notice MECS will be in the same position that, in my belief, they are now.  But then Desk’s position is likely to be that (i) EPMI will hold MECS to the 5 day deadline for payment, and (ii) eliminate happy netting.]</w:t>
      </w:r>
    </w:p>
    <w:p>
      <w:pPr>
        <w:pStyle w:val="Normal"/>
        <w:ind w:start="360" w:end="0"/>
        <w:rPr/>
      </w:pPr>
      <w:r>
        <w:rPr/>
      </w:r>
    </w:p>
    <w:p>
      <w:pPr>
        <w:pStyle w:val="Normal"/>
        <w:ind w:start="360" w:end="0"/>
        <w:rPr/>
      </w:pPr>
      <w:r>
        <w:rPr/>
      </w:r>
    </w:p>
    <w:p>
      <w:pPr>
        <w:pStyle w:val="Normal"/>
        <w:rPr/>
      </w:pPr>
      <w:r>
        <w:rPr/>
        <w:t xml:space="preserve">II.   </w:t>
      </w:r>
      <w:r>
        <w:rPr>
          <w:u w:val="single"/>
        </w:rPr>
        <w:t>Notes from 11-27 –00 11:00 a.m TC with Bill Keyser.</w:t>
      </w:r>
    </w:p>
    <w:p>
      <w:pPr>
        <w:pStyle w:val="Normal"/>
        <w:ind w:start="360" w:end="0"/>
        <w:rPr>
          <w:u w:val="single"/>
        </w:rPr>
      </w:pPr>
      <w:r>
        <w:rPr>
          <w:u w:val="single"/>
        </w:rPr>
      </w:r>
    </w:p>
    <w:p>
      <w:pPr>
        <w:pStyle w:val="Normal"/>
        <w:numPr>
          <w:ilvl w:val="0"/>
          <w:numId w:val="2"/>
        </w:numPr>
        <w:rPr/>
      </w:pPr>
      <w:r>
        <w:rPr/>
        <w:t>Bill said they hadn’t sent written notice terminating the 1996 letter agreement.  I said EPMI had received the communication by phone and hadn’t insisted on written notice.</w:t>
      </w:r>
    </w:p>
    <w:p>
      <w:pPr>
        <w:pStyle w:val="Normal"/>
        <w:numPr>
          <w:ilvl w:val="0"/>
          <w:numId w:val="2"/>
        </w:numPr>
        <w:rPr/>
      </w:pPr>
      <w:r>
        <w:rPr/>
        <w:t>I said course of dealing for 2 ½ years had been that long form confirmations were the enabling agreement; Bill agreed that long form could function as an enabling agreement, and didn’t know why MECS had been signing them.  Background: he has anxiety about long form confirmations changing from time to time without their knowledge.</w:t>
      </w:r>
    </w:p>
    <w:p>
      <w:pPr>
        <w:pStyle w:val="Normal"/>
        <w:numPr>
          <w:ilvl w:val="0"/>
          <w:numId w:val="2"/>
        </w:numPr>
        <w:rPr/>
      </w:pPr>
      <w:r>
        <w:rPr/>
        <w:t>I said that the 1996 letter agreement didn’t explicitly say it controlled over confirmations; he seemed to acknowledge that.</w:t>
      </w:r>
    </w:p>
    <w:p>
      <w:pPr>
        <w:pStyle w:val="Normal"/>
        <w:numPr>
          <w:ilvl w:val="0"/>
          <w:numId w:val="2"/>
        </w:numPr>
        <w:rPr/>
      </w:pPr>
      <w:r>
        <w:rPr/>
        <w:t xml:space="preserve">MECS will no longer act for Consumers or D.E. starting Feb 1, 01 (under current schedule), and those individual utilities are negotiating EEI masters to be effective then.  I said I would see who was involved from EPMI side on Consumers EEI agreement and see if I could help move it forward. </w:t>
      </w:r>
    </w:p>
    <w:p>
      <w:pPr>
        <w:pStyle w:val="Normal"/>
        <w:numPr>
          <w:ilvl w:val="0"/>
          <w:numId w:val="2"/>
        </w:numPr>
        <w:rPr/>
      </w:pPr>
      <w:r>
        <w:rPr/>
        <w:t>We agreed that EPMI would (going forward) change long form template to say ‘10 days from receipt of invoice’, in lieu of 5 days, and MECS will keep signing the long form confirmations sent by EPMI until MECS trading activity is wound up.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0"/>
      <w:szCs w:val="20"/>
      <w:u w:val="single"/>
    </w:rPr>
  </w:style>
  <w:style w:type="paragraph" w:styleId="Heading2">
    <w:name w:val="heading 2"/>
    <w:basedOn w:val="Normal"/>
    <w:next w:val="Normal"/>
    <w:qFormat/>
    <w:pPr>
      <w:keepNext w:val="true"/>
      <w:numPr>
        <w:ilvl w:val="1"/>
        <w:numId w:val="1"/>
      </w:numPr>
      <w:ind w:hanging="0" w:start="360" w:end="0"/>
      <w:outlineLvl w:val="1"/>
    </w:pPr>
    <w:rPr>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
    <w:name w:val="Body Text Indent"/>
    <w:basedOn w:val="Normal"/>
    <w:pPr>
      <w:ind w:hanging="0" w:start="144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2000-11-27T16:27:00Z</dcterms:created>
  <dc:creator>dportz</dc:creator>
  <dc:description/>
  <dc:language>en-CA</dc:language>
  <cp:lastModifiedBy>dportz</cp:lastModifiedBy>
  <cp:lastPrinted>2000-11-27T12:43:00Z</cp:lastPrinted>
  <dcterms:modified xsi:type="dcterms:W3CDTF">2000-11-27T16:27:00Z</dcterms:modified>
  <cp:revision>2</cp:revision>
  <dc:subject/>
  <dc:title>Confidential</dc:title>
</cp:coreProperties>
</file>