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szCs w:val="20"/>
        </w:rPr>
      </w:pPr>
      <w:r>
        <w:rPr>
          <w:sz w:val="20"/>
          <w:szCs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20750" cy="914400"/>
                    </a:xfrm>
                    <a:prstGeom prst="rect">
                      <a:avLst/>
                    </a:prstGeom>
                    <a:noFill/>
                  </pic:spPr>
                </pic:pic>
              </a:graphicData>
            </a:graphic>
          </wp:inline>
        </w:drawing>
      </w:r>
      <w:r>
        <mc:AlternateContent>
          <mc:Choice Requires="wps">
            <w:drawing>
              <wp:anchor behindDoc="0" distT="0" distB="0" distL="114300" distR="114300" simplePos="0" locked="0" layoutInCell="0" allowOverlap="1" relativeHeight="2">
                <wp:simplePos x="0" y="0"/>
                <wp:positionH relativeFrom="page">
                  <wp:posOffset>5024755</wp:posOffset>
                </wp:positionH>
                <wp:positionV relativeFrom="paragraph">
                  <wp:posOffset>635</wp:posOffset>
                </wp:positionV>
                <wp:extent cx="1691640" cy="622935"/>
                <wp:effectExtent l="0" t="0" r="0" b="0"/>
                <wp:wrapSquare wrapText="bothSides"/>
                <wp:docPr id="2" name="Frame1"/>
                <a:graphic xmlns:a="http://schemas.openxmlformats.org/drawingml/2006/main">
                  <a:graphicData uri="http://schemas.microsoft.com/office/word/2010/wordprocessingShape">
                    <wps:wsp>
                      <wps:cNvSpPr txBox="1"/>
                      <wps:spPr>
                        <a:xfrm>
                          <a:off x="0" y="0"/>
                          <a:ext cx="1691640" cy="622935"/>
                        </a:xfrm>
                        <a:prstGeom prst="rect"/>
                        <a:solidFill>
                          <a:srgbClr val="FFFFFF">
                            <a:alpha val="0"/>
                          </a:srgbClr>
                        </a:solidFill>
                      </wps:spPr>
                      <wps:txbx>
                        <w:txbxContent>
                          <w:p>
                            <w:pPr>
                              <w:pStyle w:val="Heading"/>
                              <w:rPr>
                                <w:sz w:val="20"/>
                                <w:szCs w:val="20"/>
                              </w:rPr>
                            </w:pPr>
                            <w:r>
                              <w:rPr>
                                <w:sz w:val="20"/>
                                <w:szCs w:val="20"/>
                              </w:rPr>
                              <w:object w:dxaOrig="15371" w:dyaOrig="4898">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33.2pt;height:49.05pt" filled="f" o:ole="">
                                  <v:imagedata r:id="rId4" o:title=""/>
                                </v:shape>
                                <o:OLEObject Type="Embed" ProgID="" ShapeID="ole_rId3" DrawAspect="Content" ObjectID="_784972193" r:id="rId3"/>
                              </w:object>
                            </w:r>
                          </w:p>
                        </w:txbxContent>
                      </wps:txbx>
                      <wps:bodyPr anchor="t" lIns="0" tIns="0" rIns="0" bIns="0">
                        <a:noAutofit/>
                      </wps:bodyPr>
                    </wps:wsp>
                  </a:graphicData>
                </a:graphic>
              </wp:anchor>
            </w:drawing>
          </mc:Choice>
          <mc:Fallback>
            <w:pict>
              <v:rect fillcolor="#FFFFFF" style="position:absolute;rotation:-0;width:133.2pt;height:49.05pt;mso-wrap-distance-left:9pt;mso-wrap-distance-right:9pt;mso-wrap-distance-top:0pt;mso-wrap-distance-bottom:0pt;margin-top:0.05pt;mso-position-vertical-relative:text;margin-left:395.65pt;mso-position-horizontal-relative:page">
                <v:fill opacity="0f"/>
                <v:textbox inset="0in,0in,0in,0in">
                  <w:txbxContent>
                    <w:p>
                      <w:pPr>
                        <w:pStyle w:val="Heading"/>
                        <w:rPr>
                          <w:sz w:val="20"/>
                          <w:szCs w:val="20"/>
                        </w:rPr>
                      </w:pPr>
                      <w:r>
                        <w:rPr>
                          <w:sz w:val="20"/>
                          <w:szCs w:val="20"/>
                        </w:rPr>
                        <w:object w:dxaOrig="15371" w:dyaOrig="4898">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33.2pt;height:49.05pt" filled="f" o:ole="">
                            <v:imagedata r:id="rId6" o:title=""/>
                          </v:shape>
                          <o:OLEObject Type="Embed" ProgID="" ShapeID="ole_rId5" DrawAspect="Content" ObjectID="_1670235845" r:id="rId5"/>
                        </w:object>
                      </w:r>
                    </w:p>
                  </w:txbxContent>
                </v:textbox>
                <w10:wrap type="square"/>
              </v:rect>
            </w:pict>
          </mc:Fallback>
        </mc:AlternateContent>
      </w:r>
    </w:p>
    <w:p>
      <w:pPr>
        <w:pStyle w:val="Heading"/>
        <w:rPr/>
      </w:pPr>
      <w:r>
        <w:rPr/>
      </w:r>
    </w:p>
    <w:p>
      <w:pPr>
        <w:pStyle w:val="Heading"/>
        <w:rPr/>
      </w:pPr>
      <w:r>
        <w:rPr/>
      </w:r>
    </w:p>
    <w:p>
      <w:pPr>
        <w:pStyle w:val="Heading"/>
        <w:rPr/>
      </w:pPr>
      <w:r>
        <w:rPr/>
        <w:tab/>
      </w:r>
    </w:p>
    <w:tbl>
      <w:tblPr>
        <w:tblW w:w="10170" w:type="dxa"/>
        <w:jc w:val="start"/>
        <w:tblInd w:w="18" w:type="dxa"/>
        <w:tblLayout w:type="fixed"/>
        <w:tblCellMar>
          <w:top w:w="0" w:type="dxa"/>
          <w:start w:w="108" w:type="dxa"/>
          <w:bottom w:w="0" w:type="dxa"/>
          <w:end w:w="108" w:type="dxa"/>
        </w:tblCellMar>
      </w:tblPr>
      <w:tblGrid>
        <w:gridCol w:w="1620"/>
        <w:gridCol w:w="4050"/>
        <w:gridCol w:w="1664"/>
        <w:gridCol w:w="2836"/>
      </w:tblGrid>
      <w:tr>
        <w:trPr>
          <w:trHeight w:val="200" w:hRule="atLeast"/>
        </w:trPr>
        <w:tc>
          <w:tcPr>
            <w:tcW w:w="1620" w:type="dxa"/>
            <w:tcBorders/>
          </w:tcPr>
          <w:p>
            <w:pPr>
              <w:pStyle w:val="Normal"/>
              <w:ind w:start="-180" w:end="0"/>
              <w:jc w:val="end"/>
              <w:rPr>
                <w:b/>
                <w:bCs/>
                <w:sz w:val="22"/>
                <w:szCs w:val="22"/>
              </w:rPr>
            </w:pPr>
            <w:r>
              <w:rPr>
                <w:b/>
                <w:bCs/>
                <w:sz w:val="22"/>
                <w:szCs w:val="22"/>
              </w:rPr>
              <w:t>To:</w:t>
            </w:r>
          </w:p>
        </w:tc>
        <w:tc>
          <w:tcPr>
            <w:tcW w:w="4050" w:type="dxa"/>
            <w:tcBorders/>
          </w:tcPr>
          <w:p>
            <w:pPr>
              <w:pStyle w:val="To"/>
              <w:rPr>
                <w:sz w:val="24"/>
                <w:szCs w:val="24"/>
              </w:rPr>
            </w:pPr>
            <w:r>
              <w:rPr>
                <w:sz w:val="24"/>
                <w:szCs w:val="24"/>
              </w:rPr>
              <w:t>Jim Derrick</w:t>
            </w:r>
          </w:p>
        </w:tc>
        <w:tc>
          <w:tcPr>
            <w:tcW w:w="1664" w:type="dxa"/>
            <w:tcBorders/>
          </w:tcPr>
          <w:p>
            <w:pPr>
              <w:pStyle w:val="Normal"/>
              <w:snapToGrid w:val="false"/>
              <w:ind w:start="-180" w:end="0"/>
              <w:rPr>
                <w:b/>
                <w:bCs/>
                <w:sz w:val="22"/>
                <w:szCs w:val="22"/>
              </w:rPr>
            </w:pPr>
            <w:r>
              <w:rPr>
                <w:b/>
                <w:bCs/>
                <w:sz w:val="22"/>
                <w:szCs w:val="22"/>
              </w:rPr>
            </w:r>
          </w:p>
        </w:tc>
        <w:tc>
          <w:tcPr>
            <w:tcW w:w="2836" w:type="dxa"/>
            <w:tcBorders/>
          </w:tcPr>
          <w:p>
            <w:pPr>
              <w:pStyle w:val="Normal"/>
              <w:snapToGrid w:val="false"/>
              <w:rPr>
                <w:b/>
                <w:bCs/>
                <w:sz w:val="22"/>
                <w:szCs w:val="22"/>
              </w:rPr>
            </w:pPr>
            <w:r>
              <w:rPr>
                <w:b/>
                <w:bCs/>
                <w:sz w:val="22"/>
                <w:szCs w:val="22"/>
              </w:rPr>
            </w:r>
          </w:p>
        </w:tc>
      </w:tr>
      <w:tr>
        <w:trPr>
          <w:trHeight w:val="200" w:hRule="atLeast"/>
        </w:trPr>
        <w:tc>
          <w:tcPr>
            <w:tcW w:w="1620" w:type="dxa"/>
            <w:tcBorders/>
          </w:tcPr>
          <w:p>
            <w:pPr>
              <w:pStyle w:val="Normal"/>
              <w:snapToGrid w:val="false"/>
              <w:ind w:start="-180" w:end="0"/>
              <w:jc w:val="end"/>
              <w:rPr>
                <w:b/>
                <w:bCs/>
                <w:sz w:val="22"/>
                <w:szCs w:val="22"/>
              </w:rPr>
            </w:pPr>
            <w:r>
              <w:rPr>
                <w:b/>
                <w:bCs/>
                <w:sz w:val="22"/>
                <w:szCs w:val="22"/>
              </w:rPr>
            </w:r>
          </w:p>
        </w:tc>
        <w:tc>
          <w:tcPr>
            <w:tcW w:w="4050" w:type="dxa"/>
            <w:tcBorders/>
          </w:tcPr>
          <w:p>
            <w:pPr>
              <w:pStyle w:val="Normal"/>
              <w:snapToGrid w:val="false"/>
              <w:rPr>
                <w:b/>
                <w:bCs/>
                <w:sz w:val="22"/>
                <w:szCs w:val="22"/>
              </w:rPr>
            </w:pPr>
            <w:r>
              <w:rPr>
                <w:b/>
                <w:bCs/>
                <w:sz w:val="22"/>
                <w:szCs w:val="22"/>
              </w:rPr>
            </w:r>
          </w:p>
        </w:tc>
        <w:tc>
          <w:tcPr>
            <w:tcW w:w="1664" w:type="dxa"/>
            <w:tcBorders/>
          </w:tcPr>
          <w:p>
            <w:pPr>
              <w:pStyle w:val="Normal"/>
              <w:snapToGrid w:val="false"/>
              <w:ind w:start="-180" w:end="0"/>
              <w:rPr>
                <w:b/>
                <w:bCs/>
                <w:sz w:val="22"/>
                <w:szCs w:val="22"/>
              </w:rPr>
            </w:pPr>
            <w:r>
              <w:rPr>
                <w:b/>
                <w:bCs/>
                <w:sz w:val="22"/>
                <w:szCs w:val="22"/>
              </w:rPr>
            </w:r>
          </w:p>
        </w:tc>
        <w:tc>
          <w:tcPr>
            <w:tcW w:w="2836" w:type="dxa"/>
            <w:tcBorders/>
          </w:tcPr>
          <w:p>
            <w:pPr>
              <w:pStyle w:val="Normal"/>
              <w:snapToGrid w:val="false"/>
              <w:rPr>
                <w:b/>
                <w:bCs/>
                <w:sz w:val="22"/>
                <w:szCs w:val="22"/>
              </w:rPr>
            </w:pPr>
            <w:r>
              <w:rPr>
                <w:b/>
                <w:bCs/>
                <w:sz w:val="22"/>
                <w:szCs w:val="22"/>
              </w:rPr>
            </w:r>
          </w:p>
        </w:tc>
      </w:tr>
      <w:tr>
        <w:trPr>
          <w:trHeight w:val="200" w:hRule="atLeast"/>
        </w:trPr>
        <w:tc>
          <w:tcPr>
            <w:tcW w:w="1620" w:type="dxa"/>
            <w:tcBorders/>
          </w:tcPr>
          <w:p>
            <w:pPr>
              <w:pStyle w:val="Normal"/>
              <w:ind w:start="-180" w:end="0"/>
              <w:jc w:val="end"/>
              <w:rPr>
                <w:b/>
                <w:bCs/>
                <w:sz w:val="22"/>
                <w:szCs w:val="22"/>
              </w:rPr>
            </w:pPr>
            <w:r>
              <w:rPr>
                <w:b/>
                <w:bCs/>
                <w:sz w:val="22"/>
                <w:szCs w:val="22"/>
              </w:rPr>
              <w:t>From:</w:t>
            </w:r>
          </w:p>
        </w:tc>
        <w:tc>
          <w:tcPr>
            <w:tcW w:w="4050" w:type="dxa"/>
            <w:tcBorders/>
          </w:tcPr>
          <w:p>
            <w:pPr>
              <w:pStyle w:val="From"/>
              <w:rPr>
                <w:sz w:val="24"/>
                <w:szCs w:val="24"/>
              </w:rPr>
            </w:pPr>
            <w:r>
              <w:rPr>
                <w:sz w:val="24"/>
                <w:szCs w:val="24"/>
              </w:rPr>
              <w:t>James L. Bouillion</w:t>
            </w:r>
          </w:p>
        </w:tc>
        <w:tc>
          <w:tcPr>
            <w:tcW w:w="1664" w:type="dxa"/>
            <w:tcBorders/>
          </w:tcPr>
          <w:p>
            <w:pPr>
              <w:pStyle w:val="Normal"/>
              <w:ind w:start="-180" w:end="0"/>
              <w:jc w:val="end"/>
              <w:rPr>
                <w:b/>
                <w:bCs/>
                <w:sz w:val="22"/>
                <w:szCs w:val="22"/>
              </w:rPr>
            </w:pPr>
            <w:r>
              <w:rPr>
                <w:b/>
                <w:bCs/>
                <w:sz w:val="22"/>
                <w:szCs w:val="22"/>
              </w:rPr>
              <w:t>Department:</w:t>
            </w:r>
          </w:p>
        </w:tc>
        <w:tc>
          <w:tcPr>
            <w:tcW w:w="2836" w:type="dxa"/>
            <w:tcBorders/>
          </w:tcPr>
          <w:p>
            <w:pPr>
              <w:pStyle w:val="Department"/>
              <w:rPr>
                <w:sz w:val="24"/>
                <w:szCs w:val="24"/>
              </w:rPr>
            </w:pPr>
            <w:bookmarkStart w:id="0" w:name="From"/>
            <w:bookmarkEnd w:id="0"/>
            <w:r>
              <w:rPr>
                <w:sz w:val="24"/>
                <w:szCs w:val="24"/>
              </w:rPr>
              <w:t>Global Risk Markets</w:t>
            </w:r>
          </w:p>
        </w:tc>
      </w:tr>
      <w:tr>
        <w:trPr>
          <w:trHeight w:val="200" w:hRule="atLeast"/>
        </w:trPr>
        <w:tc>
          <w:tcPr>
            <w:tcW w:w="1620" w:type="dxa"/>
            <w:tcBorders/>
          </w:tcPr>
          <w:p>
            <w:pPr>
              <w:pStyle w:val="Normal"/>
              <w:snapToGrid w:val="false"/>
              <w:ind w:start="-180" w:end="0"/>
              <w:jc w:val="end"/>
              <w:rPr>
                <w:b/>
                <w:bCs/>
                <w:sz w:val="22"/>
                <w:szCs w:val="22"/>
              </w:rPr>
            </w:pPr>
            <w:r>
              <w:rPr>
                <w:b/>
                <w:bCs/>
                <w:sz w:val="22"/>
                <w:szCs w:val="22"/>
              </w:rPr>
            </w:r>
          </w:p>
        </w:tc>
        <w:tc>
          <w:tcPr>
            <w:tcW w:w="4050" w:type="dxa"/>
            <w:tcBorders/>
          </w:tcPr>
          <w:p>
            <w:pPr>
              <w:pStyle w:val="Normal"/>
              <w:snapToGrid w:val="false"/>
              <w:rPr>
                <w:b/>
                <w:bCs/>
                <w:sz w:val="22"/>
                <w:szCs w:val="22"/>
              </w:rPr>
            </w:pPr>
            <w:r>
              <w:rPr>
                <w:b/>
                <w:bCs/>
                <w:sz w:val="22"/>
                <w:szCs w:val="22"/>
              </w:rPr>
            </w:r>
          </w:p>
        </w:tc>
        <w:tc>
          <w:tcPr>
            <w:tcW w:w="1664" w:type="dxa"/>
            <w:tcBorders/>
          </w:tcPr>
          <w:p>
            <w:pPr>
              <w:pStyle w:val="Normal"/>
              <w:snapToGrid w:val="false"/>
              <w:ind w:start="-180" w:end="0"/>
              <w:rPr>
                <w:b/>
                <w:bCs/>
                <w:sz w:val="22"/>
                <w:szCs w:val="22"/>
              </w:rPr>
            </w:pPr>
            <w:r>
              <w:rPr>
                <w:b/>
                <w:bCs/>
                <w:sz w:val="22"/>
                <w:szCs w:val="22"/>
              </w:rPr>
            </w:r>
          </w:p>
        </w:tc>
        <w:tc>
          <w:tcPr>
            <w:tcW w:w="2836" w:type="dxa"/>
            <w:tcBorders/>
          </w:tcPr>
          <w:p>
            <w:pPr>
              <w:pStyle w:val="Normal"/>
              <w:snapToGrid w:val="false"/>
              <w:rPr>
                <w:b/>
                <w:bCs/>
                <w:sz w:val="22"/>
                <w:szCs w:val="22"/>
              </w:rPr>
            </w:pPr>
            <w:r>
              <w:rPr>
                <w:b/>
                <w:bCs/>
                <w:sz w:val="22"/>
                <w:szCs w:val="22"/>
              </w:rPr>
            </w:r>
          </w:p>
        </w:tc>
      </w:tr>
      <w:tr>
        <w:trPr>
          <w:trHeight w:val="200" w:hRule="atLeast"/>
        </w:trPr>
        <w:tc>
          <w:tcPr>
            <w:tcW w:w="1620" w:type="dxa"/>
            <w:tcBorders>
              <w:bottom w:val="single" w:sz="12" w:space="0" w:color="000000"/>
            </w:tcBorders>
          </w:tcPr>
          <w:p>
            <w:pPr>
              <w:pStyle w:val="Normal"/>
              <w:ind w:start="-180" w:end="0"/>
              <w:jc w:val="end"/>
              <w:rPr>
                <w:b/>
                <w:bCs/>
                <w:sz w:val="22"/>
                <w:szCs w:val="22"/>
              </w:rPr>
            </w:pPr>
            <w:r>
              <w:rPr>
                <w:b/>
                <w:bCs/>
                <w:sz w:val="22"/>
                <w:szCs w:val="22"/>
              </w:rPr>
              <w:t>Subject:</w:t>
            </w:r>
          </w:p>
        </w:tc>
        <w:tc>
          <w:tcPr>
            <w:tcW w:w="4050" w:type="dxa"/>
            <w:tcBorders>
              <w:bottom w:val="single" w:sz="12" w:space="0" w:color="000000"/>
            </w:tcBorders>
          </w:tcPr>
          <w:p>
            <w:pPr>
              <w:pStyle w:val="Subject"/>
              <w:rPr>
                <w:sz w:val="24"/>
                <w:szCs w:val="24"/>
              </w:rPr>
            </w:pPr>
            <w:r>
              <w:rPr>
                <w:sz w:val="24"/>
                <w:szCs w:val="24"/>
              </w:rPr>
              <w:t>i2 Technologies Directors and Officers Liability Coverage</w:t>
            </w:r>
          </w:p>
          <w:p>
            <w:pPr>
              <w:pStyle w:val="Subject"/>
              <w:rPr>
                <w:sz w:val="24"/>
                <w:szCs w:val="24"/>
              </w:rPr>
            </w:pPr>
            <w:r>
              <w:rPr>
                <w:sz w:val="24"/>
                <w:szCs w:val="24"/>
              </w:rPr>
            </w:r>
          </w:p>
        </w:tc>
        <w:tc>
          <w:tcPr>
            <w:tcW w:w="1664" w:type="dxa"/>
            <w:tcBorders>
              <w:bottom w:val="single" w:sz="12" w:space="0" w:color="000000"/>
            </w:tcBorders>
          </w:tcPr>
          <w:p>
            <w:pPr>
              <w:pStyle w:val="Normal"/>
              <w:ind w:start="-180" w:end="0"/>
              <w:jc w:val="end"/>
              <w:rPr>
                <w:b/>
                <w:bCs/>
                <w:sz w:val="22"/>
                <w:szCs w:val="22"/>
              </w:rPr>
            </w:pPr>
            <w:r>
              <w:rPr>
                <w:b/>
                <w:bCs/>
                <w:sz w:val="22"/>
                <w:szCs w:val="22"/>
              </w:rPr>
              <w:t>Date:</w:t>
            </w:r>
          </w:p>
        </w:tc>
        <w:tc>
          <w:tcPr>
            <w:tcW w:w="2836" w:type="dxa"/>
            <w:tcBorders>
              <w:bottom w:val="single" w:sz="12" w:space="0" w:color="000000"/>
            </w:tcBorders>
          </w:tcPr>
          <w:p>
            <w:pPr>
              <w:pStyle w:val="Date"/>
              <w:rPr>
                <w:sz w:val="24"/>
                <w:szCs w:val="24"/>
              </w:rPr>
            </w:pPr>
            <w:r>
              <w:rPr>
                <w:sz w:val="24"/>
                <w:szCs w:val="24"/>
              </w:rPr>
              <w:t>November 10, 2000</w:t>
            </w:r>
          </w:p>
        </w:tc>
      </w:tr>
    </w:tbl>
    <w:p>
      <w:pPr>
        <w:pStyle w:val="Normal"/>
        <w:tabs>
          <w:tab w:val="clear" w:pos="540"/>
        </w:tabs>
        <w:ind w:start="1530" w:end="630"/>
        <w:rPr>
          <w:color w:val="000080"/>
        </w:rPr>
      </w:pPr>
      <w:r>
        <w:rPr>
          <w:color w:val="000080"/>
        </w:rPr>
      </w:r>
      <w:bookmarkStart w:id="1" w:name="StartOfMemo"/>
      <w:bookmarkStart w:id="2" w:name="StartOfMemo"/>
      <w:bookmarkEnd w:id="2"/>
    </w:p>
    <w:p>
      <w:pPr>
        <w:pStyle w:val="Normal"/>
        <w:tabs>
          <w:tab w:val="clear" w:pos="540"/>
        </w:tabs>
        <w:ind w:start="1530" w:end="630"/>
        <w:rPr>
          <w:color w:val="000080"/>
        </w:rPr>
      </w:pPr>
      <w:r>
        <w:rPr>
          <w:color w:val="000080"/>
        </w:rPr>
      </w:r>
    </w:p>
    <w:p>
      <w:pPr>
        <w:pStyle w:val="BlockText"/>
        <w:rPr/>
      </w:pPr>
      <w:r>
        <w:rPr/>
        <w:t>As requested, I have reviewed subject insurance policy and offer the following comments:</w:t>
      </w:r>
    </w:p>
    <w:p>
      <w:pPr>
        <w:pStyle w:val="BlockText"/>
        <w:rPr/>
      </w:pPr>
      <w:r>
        <w:rPr/>
      </w:r>
    </w:p>
    <w:p>
      <w:pPr>
        <w:pStyle w:val="Normal"/>
        <w:numPr>
          <w:ilvl w:val="0"/>
          <w:numId w:val="2"/>
        </w:numPr>
        <w:tabs>
          <w:tab w:val="clear" w:pos="540"/>
          <w:tab w:val="left" w:pos="0" w:leader="none"/>
          <w:tab w:val="left" w:pos="2160" w:leader="none"/>
        </w:tabs>
        <w:ind w:hanging="720" w:start="2880" w:end="630"/>
        <w:rPr/>
      </w:pPr>
      <w:r>
        <w:rPr>
          <w:color w:val="000080"/>
        </w:rPr>
        <w:t xml:space="preserve">The policy was written for the period 4/25/98 to 4/25/00 and extended to 4/25/01, “subject to no increase in the aggregate Limit of Liability.”  The aggregate is stated at $30,000,000 </w:t>
      </w:r>
      <w:r>
        <w:rPr>
          <w:color w:val="000080"/>
          <w:u w:val="single"/>
        </w:rPr>
        <w:t>for the term</w:t>
      </w:r>
      <w:r>
        <w:rPr>
          <w:color w:val="000080"/>
        </w:rPr>
        <w:t>.  I assume there have been no claims and such aggregate was not impaired during the first two years of coverage.</w:t>
      </w:r>
    </w:p>
    <w:p>
      <w:pPr>
        <w:pStyle w:val="Normal"/>
        <w:numPr>
          <w:ilvl w:val="0"/>
          <w:numId w:val="0"/>
        </w:numPr>
        <w:tabs>
          <w:tab w:val="clear" w:pos="540"/>
        </w:tabs>
        <w:ind w:hanging="0" w:start="2160" w:end="630"/>
        <w:rPr>
          <w:color w:val="000080"/>
        </w:rPr>
      </w:pPr>
      <w:r>
        <w:rPr>
          <w:color w:val="000080"/>
        </w:rPr>
      </w:r>
    </w:p>
    <w:p>
      <w:pPr>
        <w:pStyle w:val="Normal"/>
        <w:numPr>
          <w:ilvl w:val="0"/>
          <w:numId w:val="2"/>
        </w:numPr>
        <w:tabs>
          <w:tab w:val="clear" w:pos="540"/>
          <w:tab w:val="left" w:pos="0" w:leader="none"/>
          <w:tab w:val="left" w:pos="2160" w:leader="none"/>
        </w:tabs>
        <w:ind w:hanging="720" w:start="2880" w:end="630"/>
        <w:rPr>
          <w:color w:val="000080"/>
        </w:rPr>
      </w:pPr>
      <w:r>
        <w:rPr>
          <w:color w:val="000080"/>
        </w:rPr>
        <w:t>Please note the claim reporting provision “as soon as practicable but in no event later than 60 days after the end of the policy period.”  It would be preferable to eliminate the 60 day feature.</w:t>
      </w:r>
    </w:p>
    <w:p>
      <w:pPr>
        <w:pStyle w:val="Normal"/>
        <w:numPr>
          <w:ilvl w:val="0"/>
          <w:numId w:val="0"/>
        </w:numPr>
        <w:tabs>
          <w:tab w:val="clear" w:pos="540"/>
        </w:tabs>
        <w:ind w:hanging="0" w:start="0" w:end="630"/>
        <w:rPr>
          <w:color w:val="000080"/>
        </w:rPr>
      </w:pPr>
      <w:r>
        <w:rPr>
          <w:color w:val="000080"/>
        </w:rPr>
      </w:r>
    </w:p>
    <w:p>
      <w:pPr>
        <w:pStyle w:val="Normal"/>
        <w:numPr>
          <w:ilvl w:val="0"/>
          <w:numId w:val="2"/>
        </w:numPr>
        <w:tabs>
          <w:tab w:val="clear" w:pos="540"/>
          <w:tab w:val="left" w:pos="0" w:leader="none"/>
          <w:tab w:val="left" w:pos="2160" w:leader="none"/>
        </w:tabs>
        <w:ind w:hanging="720" w:start="2880" w:end="630"/>
        <w:rPr/>
      </w:pPr>
      <w:r>
        <w:rPr>
          <w:color w:val="000080"/>
          <w:u w:val="single"/>
        </w:rPr>
        <w:t>Section II. Definitions, Item D</w:t>
      </w:r>
      <w:r>
        <w:rPr>
          <w:color w:val="000080"/>
        </w:rPr>
        <w:t xml:space="preserve"> “Company” means: </w:t>
      </w:r>
    </w:p>
    <w:p>
      <w:pPr>
        <w:pStyle w:val="Normal"/>
        <w:numPr>
          <w:ilvl w:val="0"/>
          <w:numId w:val="0"/>
        </w:numPr>
        <w:tabs>
          <w:tab w:val="clear" w:pos="540"/>
        </w:tabs>
        <w:ind w:hanging="0" w:start="2520" w:end="630"/>
        <w:rPr>
          <w:color w:val="000080"/>
        </w:rPr>
      </w:pPr>
      <w:r>
        <w:rPr>
          <w:color w:val="000080"/>
        </w:rPr>
        <w:t>We would add: “Definition of Company is amended to include the Company as debtor-in Possession.</w:t>
      </w:r>
    </w:p>
    <w:p>
      <w:pPr>
        <w:pStyle w:val="Normal"/>
        <w:numPr>
          <w:ilvl w:val="0"/>
          <w:numId w:val="0"/>
        </w:numPr>
        <w:tabs>
          <w:tab w:val="clear" w:pos="540"/>
        </w:tabs>
        <w:ind w:hanging="0" w:start="2520" w:end="630"/>
        <w:rPr>
          <w:color w:val="000080"/>
        </w:rPr>
      </w:pPr>
      <w:r>
        <w:rPr>
          <w:color w:val="000080"/>
        </w:rPr>
      </w:r>
    </w:p>
    <w:p>
      <w:pPr>
        <w:pStyle w:val="Normal"/>
        <w:numPr>
          <w:ilvl w:val="0"/>
          <w:numId w:val="2"/>
        </w:numPr>
        <w:tabs>
          <w:tab w:val="clear" w:pos="540"/>
          <w:tab w:val="left" w:pos="0" w:leader="none"/>
          <w:tab w:val="left" w:pos="2160" w:leader="none"/>
        </w:tabs>
        <w:ind w:hanging="720" w:start="2880" w:end="630"/>
        <w:rPr/>
      </w:pPr>
      <w:r>
        <w:rPr>
          <w:color w:val="000080"/>
          <w:u w:val="single"/>
        </w:rPr>
        <w:t>Section III. Exclusions, Item C</w:t>
      </w:r>
      <w:r>
        <w:rPr>
          <w:color w:val="000080"/>
        </w:rPr>
        <w:t xml:space="preserve">  </w:t>
      </w:r>
    </w:p>
    <w:p>
      <w:pPr>
        <w:pStyle w:val="Normal"/>
        <w:numPr>
          <w:ilvl w:val="0"/>
          <w:numId w:val="0"/>
        </w:numPr>
        <w:tabs>
          <w:tab w:val="clear" w:pos="540"/>
        </w:tabs>
        <w:ind w:hanging="0" w:start="2520" w:end="630"/>
        <w:rPr/>
      </w:pPr>
      <w:r>
        <w:rPr>
          <w:color w:val="000080"/>
        </w:rPr>
        <w:t xml:space="preserve">If Mr. Lay is serving on this Board “at the direction of Enron”, this exclusion makes Enron’s insurance </w:t>
      </w:r>
      <w:r>
        <w:rPr>
          <w:b/>
          <w:bCs/>
          <w:color w:val="000080"/>
          <w:u w:val="single"/>
        </w:rPr>
        <w:t>primary</w:t>
      </w:r>
      <w:r>
        <w:rPr>
          <w:color w:val="000080"/>
        </w:rPr>
        <w:t xml:space="preserve">, however, Enron’s insurance policy wording will conflict.  </w:t>
      </w:r>
      <w:r>
        <w:rPr>
          <w:b/>
          <w:bCs/>
          <w:color w:val="000080"/>
          <w:u w:val="single"/>
        </w:rPr>
        <w:t>Please advise if Mr. Lay is serving at the direction of Enron.  Also, please advise if Enron has any ownership interest in “i2”</w:t>
      </w:r>
      <w:r>
        <w:rPr>
          <w:b/>
          <w:bCs/>
          <w:color w:val="000080"/>
        </w:rPr>
        <w:t xml:space="preserve">.   </w:t>
      </w:r>
      <w:r>
        <w:rPr>
          <w:color w:val="000080"/>
        </w:rPr>
        <w:t>This information is important as we must endorse Enron’s insurances.</w:t>
      </w:r>
      <w:r>
        <w:rPr>
          <w:b/>
          <w:bCs/>
          <w:color w:val="000080"/>
        </w:rPr>
        <w:t xml:space="preserve">   </w:t>
      </w:r>
    </w:p>
    <w:p>
      <w:pPr>
        <w:pStyle w:val="Normal"/>
        <w:numPr>
          <w:ilvl w:val="0"/>
          <w:numId w:val="0"/>
        </w:numPr>
        <w:tabs>
          <w:tab w:val="clear" w:pos="540"/>
        </w:tabs>
        <w:ind w:hanging="0" w:start="2520" w:end="630"/>
        <w:rPr>
          <w:color w:val="000080"/>
        </w:rPr>
      </w:pPr>
      <w:r>
        <w:rPr>
          <w:b/>
          <w:bCs/>
          <w:color w:val="000080"/>
        </w:rPr>
        <w:t xml:space="preserve">      </w:t>
      </w:r>
    </w:p>
    <w:p>
      <w:pPr>
        <w:pStyle w:val="Normal"/>
        <w:numPr>
          <w:ilvl w:val="0"/>
          <w:numId w:val="2"/>
        </w:numPr>
        <w:tabs>
          <w:tab w:val="clear" w:pos="540"/>
          <w:tab w:val="left" w:pos="0" w:leader="none"/>
          <w:tab w:val="left" w:pos="2160" w:leader="none"/>
        </w:tabs>
        <w:ind w:hanging="720" w:start="2880" w:end="630"/>
        <w:rPr>
          <w:color w:val="000080"/>
        </w:rPr>
      </w:pPr>
      <w:r>
        <w:rPr>
          <w:color w:val="000080"/>
          <w:u w:val="single"/>
        </w:rPr>
        <w:t>Additional Wordings &amp; Clauses Prior and Pending Litigation</w:t>
      </w:r>
    </w:p>
    <w:p>
      <w:pPr>
        <w:pStyle w:val="Normal"/>
        <w:numPr>
          <w:ilvl w:val="0"/>
          <w:numId w:val="0"/>
        </w:numPr>
        <w:tabs>
          <w:tab w:val="clear" w:pos="540"/>
        </w:tabs>
        <w:ind w:hanging="0" w:start="2520" w:end="630"/>
        <w:rPr/>
      </w:pPr>
      <w:r>
        <w:rPr>
          <w:color w:val="000080"/>
        </w:rPr>
        <w:t xml:space="preserve">We find no “retroactive date” in this policy.  “Claims made” policies typically have such date which coincides with the inception of the Company.  </w:t>
      </w:r>
      <w:r>
        <w:rPr>
          <w:b/>
          <w:bCs/>
          <w:color w:val="000080"/>
          <w:u w:val="single"/>
        </w:rPr>
        <w:t>When did i2 begin operations?</w:t>
      </w:r>
      <w:r>
        <w:rPr>
          <w:color w:val="000080"/>
          <w:u w:val="single"/>
        </w:rPr>
        <w:t xml:space="preserve">   </w:t>
      </w:r>
    </w:p>
    <w:p>
      <w:pPr>
        <w:pStyle w:val="Normal"/>
        <w:numPr>
          <w:ilvl w:val="0"/>
          <w:numId w:val="0"/>
        </w:numPr>
        <w:tabs>
          <w:tab w:val="clear" w:pos="540"/>
        </w:tabs>
        <w:ind w:hanging="0" w:start="2520" w:end="630"/>
        <w:rPr>
          <w:color w:val="000080"/>
          <w:u w:val="single"/>
        </w:rPr>
      </w:pPr>
      <w:r>
        <w:rPr>
          <w:color w:val="000080"/>
          <w:u w:val="single"/>
        </w:rPr>
      </w:r>
    </w:p>
    <w:p>
      <w:pPr>
        <w:pStyle w:val="Normal"/>
        <w:numPr>
          <w:ilvl w:val="0"/>
          <w:numId w:val="0"/>
        </w:numPr>
        <w:tabs>
          <w:tab w:val="clear" w:pos="540"/>
        </w:tabs>
        <w:ind w:hanging="0" w:start="2520" w:end="630"/>
        <w:rPr>
          <w:color w:val="000080"/>
          <w:u w:val="single"/>
        </w:rPr>
      </w:pPr>
      <w:r>
        <w:rPr>
          <w:color w:val="000080"/>
          <w:u w:val="single"/>
        </w:rPr>
      </w:r>
    </w:p>
    <w:p>
      <w:pPr>
        <w:pStyle w:val="Normal"/>
        <w:numPr>
          <w:ilvl w:val="0"/>
          <w:numId w:val="0"/>
        </w:numPr>
        <w:tabs>
          <w:tab w:val="clear" w:pos="540"/>
        </w:tabs>
        <w:ind w:hanging="0" w:start="2520" w:end="630"/>
        <w:rPr>
          <w:color w:val="000080"/>
          <w:u w:val="single"/>
        </w:rPr>
      </w:pPr>
      <w:r>
        <w:rPr>
          <w:color w:val="000080"/>
          <w:u w:val="single"/>
        </w:rPr>
      </w:r>
    </w:p>
    <w:p>
      <w:pPr>
        <w:pStyle w:val="Normal"/>
        <w:numPr>
          <w:ilvl w:val="0"/>
          <w:numId w:val="0"/>
        </w:numPr>
        <w:tabs>
          <w:tab w:val="clear" w:pos="540"/>
        </w:tabs>
        <w:ind w:hanging="0" w:start="2520" w:end="630"/>
        <w:rPr>
          <w:color w:val="000080"/>
          <w:u w:val="single"/>
        </w:rPr>
      </w:pPr>
      <w:r>
        <w:rPr>
          <w:color w:val="000080"/>
          <w:u w:val="single"/>
        </w:rPr>
      </w:r>
    </w:p>
    <w:p>
      <w:pPr>
        <w:pStyle w:val="Normal"/>
        <w:numPr>
          <w:ilvl w:val="0"/>
          <w:numId w:val="0"/>
        </w:numPr>
        <w:tabs>
          <w:tab w:val="clear" w:pos="540"/>
        </w:tabs>
        <w:ind w:hanging="0" w:start="2520" w:end="630"/>
        <w:rPr>
          <w:color w:val="000080"/>
          <w:u w:val="single"/>
        </w:rPr>
      </w:pPr>
      <w:r>
        <w:rPr>
          <w:color w:val="000080"/>
          <w:u w:val="single"/>
        </w:rPr>
      </w:r>
    </w:p>
    <w:p>
      <w:pPr>
        <w:pStyle w:val="Normal"/>
        <w:numPr>
          <w:ilvl w:val="0"/>
          <w:numId w:val="2"/>
        </w:numPr>
        <w:tabs>
          <w:tab w:val="clear" w:pos="540"/>
          <w:tab w:val="left" w:pos="0" w:leader="none"/>
          <w:tab w:val="left" w:pos="2160" w:leader="none"/>
        </w:tabs>
        <w:ind w:hanging="720" w:start="2880" w:end="630"/>
        <w:rPr/>
      </w:pPr>
      <w:r>
        <w:rPr>
          <w:color w:val="000080"/>
          <w:u w:val="single"/>
        </w:rPr>
        <w:t>Wrongful Employment Practices Coverage (Amended)</w:t>
      </w:r>
      <w:r>
        <w:rPr>
          <w:color w:val="000080"/>
        </w:rPr>
        <w:t xml:space="preserve">  </w:t>
      </w:r>
    </w:p>
    <w:p>
      <w:pPr>
        <w:pStyle w:val="Normal"/>
        <w:numPr>
          <w:ilvl w:val="0"/>
          <w:numId w:val="0"/>
        </w:numPr>
        <w:tabs>
          <w:tab w:val="clear" w:pos="540"/>
        </w:tabs>
        <w:ind w:hanging="0" w:start="2520" w:end="630"/>
        <w:rPr>
          <w:color w:val="000080"/>
        </w:rPr>
      </w:pPr>
      <w:r>
        <w:rPr>
          <w:color w:val="000080"/>
        </w:rPr>
        <w:t>The Company itself does not appear to be covered.  Such coverage may be provided under another policy.</w:t>
      </w:r>
    </w:p>
    <w:p>
      <w:pPr>
        <w:pStyle w:val="Normal"/>
        <w:numPr>
          <w:ilvl w:val="0"/>
          <w:numId w:val="0"/>
        </w:numPr>
        <w:tabs>
          <w:tab w:val="clear" w:pos="540"/>
        </w:tabs>
        <w:ind w:hanging="0" w:start="0" w:end="630"/>
        <w:rPr>
          <w:color w:val="000080"/>
        </w:rPr>
      </w:pPr>
      <w:r>
        <w:rPr>
          <w:color w:val="000080"/>
        </w:rPr>
      </w:r>
    </w:p>
    <w:p>
      <w:pPr>
        <w:pStyle w:val="Normal"/>
        <w:numPr>
          <w:ilvl w:val="0"/>
          <w:numId w:val="2"/>
        </w:numPr>
        <w:tabs>
          <w:tab w:val="clear" w:pos="540"/>
          <w:tab w:val="left" w:pos="0" w:leader="none"/>
          <w:tab w:val="left" w:pos="2160" w:leader="none"/>
        </w:tabs>
        <w:ind w:hanging="360" w:start="2880" w:end="630"/>
        <w:rPr/>
      </w:pPr>
      <w:r>
        <w:rPr>
          <w:color w:val="000080"/>
          <w:u w:val="single"/>
        </w:rPr>
        <w:t>Endorsements, Item 9</w:t>
      </w:r>
      <w:r>
        <w:rPr>
          <w:color w:val="000080"/>
        </w:rPr>
        <w:t xml:space="preserve"> </w:t>
      </w:r>
    </w:p>
    <w:p>
      <w:pPr>
        <w:pStyle w:val="Normal"/>
        <w:tabs>
          <w:tab w:val="clear" w:pos="540"/>
          <w:tab w:val="left" w:pos="2520" w:leader="none"/>
        </w:tabs>
        <w:ind w:start="2520" w:end="630"/>
        <w:rPr/>
      </w:pPr>
      <w:r>
        <w:rPr>
          <w:color w:val="000080"/>
        </w:rPr>
        <w:t>Punitive or exemplary damages are covered, however, only for “</w:t>
      </w:r>
      <w:r>
        <w:rPr>
          <w:color w:val="000080"/>
          <w:u w:val="single"/>
        </w:rPr>
        <w:t>Securities Action Claims</w:t>
      </w:r>
      <w:r>
        <w:rPr>
          <w:color w:val="000080"/>
        </w:rPr>
        <w:t>”.  The methodology for determination of most favorable jurisdiction is not defined.</w:t>
      </w:r>
    </w:p>
    <w:p>
      <w:pPr>
        <w:pStyle w:val="Normal"/>
        <w:tabs>
          <w:tab w:val="clear" w:pos="540"/>
          <w:tab w:val="left" w:pos="2520" w:leader="none"/>
        </w:tabs>
        <w:ind w:end="630"/>
        <w:rPr>
          <w:color w:val="000080"/>
        </w:rPr>
      </w:pPr>
      <w:r>
        <w:rPr>
          <w:color w:val="000080"/>
        </w:rPr>
      </w:r>
    </w:p>
    <w:p>
      <w:pPr>
        <w:pStyle w:val="BlockText"/>
        <w:tabs>
          <w:tab w:val="left" w:pos="2520" w:leader="none"/>
        </w:tabs>
        <w:rPr/>
      </w:pPr>
      <w:r>
        <w:rPr/>
        <w:t xml:space="preserve">Overall, we believe the coverage is good and the above represent some structural points that we feel should be addressed.  </w:t>
      </w:r>
    </w:p>
    <w:p>
      <w:pPr>
        <w:pStyle w:val="Normal"/>
        <w:tabs>
          <w:tab w:val="clear" w:pos="540"/>
          <w:tab w:val="left" w:pos="2520" w:leader="none"/>
        </w:tabs>
        <w:ind w:end="630"/>
        <w:rPr>
          <w:color w:val="000080"/>
        </w:rPr>
      </w:pPr>
      <w:r>
        <w:rPr>
          <w:color w:val="000080"/>
        </w:rPr>
      </w:r>
    </w:p>
    <w:p>
      <w:pPr>
        <w:pStyle w:val="Normal"/>
        <w:tabs>
          <w:tab w:val="clear" w:pos="540"/>
          <w:tab w:val="left" w:pos="2520" w:leader="none"/>
        </w:tabs>
        <w:ind w:end="630"/>
        <w:rPr>
          <w:color w:val="000080"/>
        </w:rPr>
      </w:pPr>
      <w:r>
        <w:rPr>
          <w:color w:val="000080"/>
        </w:rPr>
        <w:t>Please call if you wish to discuss.</w:t>
      </w:r>
    </w:p>
    <w:p>
      <w:pPr>
        <w:pStyle w:val="Normal"/>
        <w:tabs>
          <w:tab w:val="clear" w:pos="540"/>
          <w:tab w:val="left" w:pos="2520" w:leader="none"/>
        </w:tabs>
        <w:ind w:end="630"/>
        <w:rPr>
          <w:color w:val="000080"/>
        </w:rPr>
      </w:pPr>
      <w:r>
        <w:rPr>
          <w:color w:val="000080"/>
        </w:rPr>
      </w:r>
    </w:p>
    <w:p>
      <w:pPr>
        <w:pStyle w:val="Normal"/>
        <w:tabs>
          <w:tab w:val="clear" w:pos="540"/>
          <w:tab w:val="left" w:pos="2520" w:leader="none"/>
        </w:tabs>
        <w:ind w:end="630"/>
        <w:rPr>
          <w:color w:val="000080"/>
        </w:rPr>
      </w:pPr>
      <w:r>
        <w:rPr>
          <w:color w:val="000080"/>
        </w:rPr>
        <w:t>Jim</w:t>
      </w:r>
    </w:p>
    <w:p>
      <w:pPr>
        <w:pStyle w:val="Normal"/>
        <w:tabs>
          <w:tab w:val="clear" w:pos="540"/>
          <w:tab w:val="left" w:pos="2520" w:leader="none"/>
        </w:tabs>
        <w:ind w:end="630"/>
        <w:rPr>
          <w:color w:val="000080"/>
        </w:rPr>
      </w:pPr>
      <w:r>
        <w:rPr>
          <w:color w:val="000080"/>
        </w:rPr>
      </w:r>
    </w:p>
    <w:p>
      <w:pPr>
        <w:pStyle w:val="Normal"/>
        <w:tabs>
          <w:tab w:val="clear" w:pos="540"/>
        </w:tabs>
        <w:ind w:end="630"/>
        <w:rPr>
          <w:color w:val="000080"/>
        </w:rPr>
      </w:pPr>
      <w:r>
        <w:rPr>
          <w:color w:val="000080"/>
        </w:rPr>
      </w:r>
    </w:p>
    <w:p>
      <w:pPr>
        <w:pStyle w:val="Normal"/>
        <w:tabs>
          <w:tab w:val="clear" w:pos="540"/>
        </w:tabs>
        <w:rPr>
          <w:color w:val="000080"/>
        </w:rPr>
      </w:pPr>
      <w:r>
        <w:rPr>
          <w:color w:val="000080"/>
        </w:rPr>
      </w:r>
    </w:p>
    <w:p>
      <w:pPr>
        <w:pStyle w:val="Normal"/>
        <w:tabs>
          <w:tab w:val="clear" w:pos="540"/>
        </w:tabs>
        <w:rPr>
          <w:color w:val="000080"/>
        </w:rPr>
      </w:pPr>
      <w:r>
        <w:rPr>
          <w:color w:val="000080"/>
        </w:rPr>
      </w:r>
    </w:p>
    <w:p>
      <w:pPr>
        <w:pStyle w:val="Normal"/>
        <w:tabs>
          <w:tab w:val="clear" w:pos="540"/>
        </w:tabs>
        <w:rPr/>
      </w:pPr>
      <w:r>
        <w:rPr/>
      </w:r>
    </w:p>
    <w:p>
      <w:pPr>
        <w:pStyle w:val="Normal"/>
        <w:tabs>
          <w:tab w:val="clear" w:pos="540"/>
        </w:tabs>
        <w:rPr/>
      </w:pPr>
      <w:r>
        <w:rPr/>
      </w:r>
    </w:p>
    <w:sectPr>
      <w:headerReference w:type="default" r:id="rId7"/>
      <w:headerReference w:type="first" r:id="rId8"/>
      <w:footerReference w:type="default" r:id="rId9"/>
      <w:footerReference w:type="first" r:id="rId10"/>
      <w:type w:val="nextPage"/>
      <w:pgSz w:w="12240" w:h="15840"/>
      <w:pgMar w:left="1152" w:right="1008" w:gutter="0" w:header="720" w:top="776" w:footer="720" w:bottom="77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1)">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bCs/>
        <w:sz w:val="16"/>
        <w:szCs w:val="16"/>
      </w:rPr>
    </w:pPr>
    <w:r>
      <w:rPr>
        <w:b/>
        <w:bCs/>
        <w:sz w:val="16"/>
        <w:szCs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bCs/>
        <w:sz w:val="16"/>
        <w:szCs w:val="16"/>
      </w:rPr>
    </w:pPr>
    <w:r>
      <w:rPr>
        <w:b/>
        <w:bCs/>
        <w:sz w:val="16"/>
        <w:szCs w:val="16"/>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000-469-E(7/92)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1)" w:hAnsi="CG Times (W1)" w:eastAsia="CG Times (W1)" w:cs="CG Times (W1)"/>
      <w:b/>
      <w:bCs/>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lockText">
    <w:name w:val="Block Text"/>
    <w:basedOn w:val="Normal"/>
    <w:qFormat/>
    <w:pPr>
      <w:tabs>
        <w:tab w:val="clear" w:pos="540"/>
      </w:tabs>
      <w:ind w:hanging="0" w:start="1530" w:end="630"/>
    </w:pPr>
    <w:rPr>
      <w:color w:val="00008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040" w:leader="none"/>
        <w:tab w:val="right" w:pos="1008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oleObject" Target="embeddings/oleObject1.bin"/><Relationship Id="rId4" Type="http://schemas.openxmlformats.org/officeDocument/2006/relationships/image" Target="media/image2.emf"/><Relationship Id="rId5" Type="http://schemas.openxmlformats.org/officeDocument/2006/relationships/oleObject" Target="embeddings/oleObject2.bin"/><Relationship Id="rId6" Type="http://schemas.openxmlformats.org/officeDocument/2006/relationships/image" Target="media/image2.emf"/><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2000-11-10T18:25:00Z</dcterms:created>
  <dc:creator>Stacy Lenart</dc:creator>
  <dc:description/>
  <dc:language>en-CA</dc:language>
  <cp:lastModifiedBy>Danielle L. Dees</cp:lastModifiedBy>
  <cp:lastPrinted>2000-11-10T16:03:00Z</cp:lastPrinted>
  <dcterms:modified xsi:type="dcterms:W3CDTF">2000-11-10T19:37:00Z</dcterms:modified>
  <cp:revision>1</cp:revision>
  <dc:subject/>
  <dc:title> </dc:title>
</cp:coreProperties>
</file>