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3870"/>
        <w:gridCol w:w="27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(but will in no event end later than the end of the Billing Cycle including such date).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Normal"/>
              <w:widowControl w:val="false"/>
              <w:tabs>
                <w:tab w:val="clear" w:pos="720"/>
                <w:tab w:val="left" w:pos="792" w:leader="none"/>
              </w:tabs>
              <w:spacing w:before="0" w:after="120"/>
              <w:ind w:hanging="4" w:end="0"/>
              <w:jc w:val="both"/>
              <w:rPr/>
            </w:pPr>
            <w:r>
              <w:rPr>
                <w:sz w:val="20"/>
              </w:rPr>
              <w:t xml:space="preserve">1.  For each Billing Cycle from the commencement of the Transaction Term through the first Billing Cycle ending in July of 2002, you will continue to pay your Utility Invoices as charged by your Utility in accordance with the terms thereof.  Should we decide during this period to exercise our right under </w:t>
            </w:r>
            <w:r>
              <w:rPr>
                <w:sz w:val="20"/>
                <w:u w:val="single"/>
              </w:rPr>
              <w:t>Section 1.6</w:t>
            </w:r>
            <w:r>
              <w:rPr>
                <w:sz w:val="20"/>
              </w:rPr>
              <w:t xml:space="preserve"> of the Master Agreement to serve your Accounts directly as a Competitive Supplier, you will pay us an amount for each Account equal to what the Utility Invoice would have been for such Account had you purchased the Account’s Actual Usage from the Utility under the Prevailing Utility Tariff Rate, and you will also be responsible for and pay, or reimburse us if we have paid, any Special Utility Charges and Taxes.  During this period, regardless of whether the energy requirements of the Accounts are being supplied by us or the applicable Utility, we will pay you an amount each month equal to the product of the Anticipated Usage for such month and $0.[    ] per kWh of Anticipated Usage.</w:t>
            </w:r>
          </w:p>
          <w:p>
            <w:pPr>
              <w:pStyle w:val="BodyTextIndent3"/>
              <w:ind w:start="0" w:end="0"/>
              <w:rPr/>
            </w:pPr>
            <w:r>
              <w:rPr/>
              <w:t>2.  For each Billing Cycle from the first Billing Cycle commencing in July of 2002 through the end of the Transaction Term, regardless of whether the energy requirements of the Accounts are being supplied by us or the applicable Utility, you will pay us an amount for each Account equal to the product of (i) the Account’s Actual Usage for such Billing Cycle multiplied by (ii) the EESI Energy Price. The EESI Energy Price does not include, and you will be responsible for and pay, or reimburse us if we have paid, any T&amp;D Charges, Special Utility Charges and Taxes.</w:t>
            </w:r>
          </w:p>
          <w:p>
            <w:pPr>
              <w:pStyle w:val="BodyText"/>
              <w:spacing w:before="120" w:after="120"/>
              <w:rPr/>
            </w:pPr>
            <w:r>
              <w:rPr/>
              <w:t xml:space="preserve">As used in this Transaction: </w:t>
            </w:r>
          </w:p>
          <w:p>
            <w:pPr>
              <w:pStyle w:val="Normal"/>
              <w:widowControl w:val="false"/>
              <w:spacing w:before="0" w:after="60"/>
              <w:ind w:start="518" w:end="0"/>
              <w:jc w:val="both"/>
              <w:rPr/>
            </w:pPr>
            <w:r>
              <w:rPr>
                <w:sz w:val="20"/>
              </w:rPr>
              <w:t>"</w:t>
            </w:r>
            <w:r>
              <w:rPr>
                <w:sz w:val="20"/>
                <w:u w:val="single"/>
              </w:rPr>
              <w:t>Prevailing Utility Tariff Rate</w:t>
            </w:r>
            <w:r>
              <w:rPr>
                <w:sz w:val="20"/>
              </w:rPr>
              <w:t>" means, for each Account, the Utility’s tariff and riders, if any, or any successor tariff and riders, in effect for such Account during the applicable month, as filed with the Maryland Public Service Commission (“</w:t>
            </w:r>
            <w:r>
              <w:rPr>
                <w:sz w:val="20"/>
                <w:u w:val="single"/>
              </w:rPr>
              <w:t>PSC</w:t>
            </w:r>
            <w:r>
              <w:rPr>
                <w:sz w:val="20"/>
              </w:rPr>
              <w:t>”), excluding Special Utility Charges and Taxes.</w:t>
            </w:r>
          </w:p>
          <w:p>
            <w:pPr>
              <w:pStyle w:val="Normal"/>
              <w:widowControl w:val="false"/>
              <w:spacing w:before="60" w:after="0"/>
              <w:ind w:start="522" w:end="0"/>
              <w:jc w:val="both"/>
              <w:rPr/>
            </w:pPr>
            <w:r>
              <w:rPr>
                <w:sz w:val="20"/>
              </w:rPr>
              <w:t>"</w:t>
            </w:r>
            <w:r>
              <w:rPr>
                <w:sz w:val="20"/>
                <w:u w:val="single"/>
              </w:rPr>
              <w:t>EESI Energy Price</w:t>
            </w:r>
            <w:r>
              <w:rPr>
                <w:sz w:val="20"/>
              </w:rPr>
              <w:t xml:space="preserve">" means the sum of (i) the weighted average (weighted in accordance with the Account's hourly usage or the Utility rate class usage profile) of hourly Real Time Locational Marginal Price per kWh for the BGE Zone as posted by the ISO; plus (ii) all ISO administered charges incurred in connection with delivery of energy to the Delivery Point, including, without limitation, uplifts, Ancillary Services, Installed Capacity, congestion, losses and other ISO charges or administrative fees; plus (iii) the Management Fee.  In the event the BGE Zone ceases to exist or is renamed by the ISO, we will agree upon the applicable replacement zone to determine the EESI Energy Price </w:t>
            </w:r>
            <w:r>
              <w:rPr>
                <w:b/>
                <w:sz w:val="20"/>
              </w:rPr>
              <w:t>[what if the parties cannot agree?]</w:t>
            </w:r>
            <w:r>
              <w:rPr>
                <w:sz w:val="20"/>
              </w:rPr>
              <w:t>.</w:t>
            </w:r>
          </w:p>
          <w:p>
            <w:pPr>
              <w:pStyle w:val="Normal"/>
              <w:widowControl w:val="false"/>
              <w:ind w:start="522" w:end="0"/>
              <w:jc w:val="both"/>
              <w:rPr>
                <w:sz w:val="20"/>
              </w:rPr>
            </w:pPr>
            <w:r>
              <w:rPr>
                <w:sz w:val="20"/>
              </w:rPr>
            </w:r>
          </w:p>
          <w:p>
            <w:pPr>
              <w:pStyle w:val="Normal"/>
              <w:widowControl w:val="false"/>
              <w:ind w:start="792" w:end="0"/>
              <w:jc w:val="both"/>
              <w:rPr>
                <w:sz w:val="20"/>
              </w:rPr>
            </w:pPr>
            <w:r>
              <w:rPr>
                <w:sz w:val="20"/>
              </w:rPr>
              <w:t xml:space="preserve">Where: </w:t>
            </w:r>
          </w:p>
          <w:p>
            <w:pPr>
              <w:pStyle w:val="BodyTextIndent3"/>
              <w:tabs>
                <w:tab w:val="clear" w:pos="792"/>
              </w:tabs>
              <w:spacing w:before="60" w:after="0"/>
              <w:ind w:start="792" w:end="0"/>
              <w:rPr/>
            </w:pPr>
            <w:r>
              <w:rPr/>
              <w:t>"</w:t>
            </w:r>
            <w:r>
              <w:rPr>
                <w:u w:val="single"/>
              </w:rPr>
              <w:t>Installed Capacity</w:t>
            </w:r>
            <w:r>
              <w:rPr/>
              <w:t>" (also referred to as "</w:t>
            </w:r>
            <w:r>
              <w:rPr>
                <w:u w:val="single"/>
              </w:rPr>
              <w:t>Unforced Capacity</w:t>
            </w:r>
            <w:r>
              <w:rPr/>
              <w:t xml:space="preserve">") will be determined utilizing the ISO's daily clearing market; in the event no amounts clear in the ISO administered daily unforced capacity credit clearing market then Installed Capacity charges will be determined utilizing the PJM Deficiency Rate </w:t>
            </w:r>
            <w:r>
              <w:rPr>
                <w:b/>
              </w:rPr>
              <w:t xml:space="preserve">[as defined in or posted in . . . . ] </w:t>
            </w:r>
            <w:r>
              <w:rPr/>
              <w:t>for such day.</w:t>
            </w:r>
          </w:p>
          <w:p>
            <w:pPr>
              <w:pStyle w:val="Normal"/>
              <w:widowControl w:val="false"/>
              <w:spacing w:before="60" w:after="0"/>
              <w:ind w:start="792" w:end="0"/>
              <w:jc w:val="both"/>
              <w:rPr/>
            </w:pPr>
            <w:r>
              <w:rPr>
                <w:sz w:val="20"/>
              </w:rPr>
              <w:t>“</w:t>
            </w:r>
            <w:r>
              <w:rPr>
                <w:sz w:val="20"/>
                <w:u w:val="single"/>
              </w:rPr>
              <w:t>Ancillary Services</w:t>
            </w:r>
            <w:r>
              <w:rPr>
                <w:sz w:val="20"/>
              </w:rPr>
              <w:t xml:space="preserve">" charges will be determined utilizing the ISO administered charges </w:t>
            </w:r>
            <w:r>
              <w:rPr>
                <w:b/>
                <w:sz w:val="20"/>
              </w:rPr>
              <w:t xml:space="preserve">[as posted in or reported by. . . . ] </w:t>
            </w:r>
            <w:r>
              <w:rPr>
                <w:sz w:val="20"/>
              </w:rPr>
              <w:t>and include, but are not limited to: (i) Regulation, (ii) Operating Reserves, (iii) PJM Scheduling Control and Dispatch Service, (iv) RTO Scheduling System Control and Dispatch Service, (v) Reactive Supply and Voltage Control from Generation Sources Service, and (vi) Regulation and Frequency Response, and will be converted to a cost per kWh.  The Ancillary Services component of the EESI Energy Price shall be adjusted on a quarterly basis to reflect any billing adjustments from the ISO.</w:t>
            </w:r>
          </w:p>
          <w:p>
            <w:pPr>
              <w:pStyle w:val="Normal"/>
              <w:widowControl w:val="false"/>
              <w:spacing w:before="60" w:after="0"/>
              <w:ind w:start="518" w:end="0"/>
              <w:jc w:val="both"/>
              <w:rPr/>
            </w:pPr>
            <w:r>
              <w:rPr>
                <w:sz w:val="20"/>
              </w:rPr>
              <w:t>“</w:t>
            </w:r>
            <w:r>
              <w:rPr>
                <w:sz w:val="20"/>
                <w:u w:val="single"/>
              </w:rPr>
              <w:t>Management Fee</w:t>
            </w:r>
            <w:r>
              <w:rPr>
                <w:sz w:val="20"/>
              </w:rPr>
              <w:t>” means $0.[    ] per kWh</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sz w:val="20"/>
              </w:rPr>
            </w:pPr>
            <w:r>
              <w:rPr>
                <w:sz w:val="20"/>
              </w:rPr>
              <w:t>[Anticipated Usage for each month shall be the monthly kWh amounts for each Account as set forth on Schedule 1-A.]</w:t>
            </w:r>
          </w:p>
          <w:p>
            <w:pPr>
              <w:pStyle w:val="BodyText"/>
              <w:rPr>
                <w:sz w:val="20"/>
              </w:rPr>
            </w:pPr>
            <w:r>
              <w:rPr>
                <w:sz w:val="20"/>
              </w:rPr>
            </w:r>
          </w:p>
          <w:p>
            <w:pPr>
              <w:pStyle w:val="BodyText"/>
              <w:rPr/>
            </w:pPr>
            <w:r>
              <w:rPr/>
              <w:t>There will be no charges for Excess or Deficiency Usage through June 30, 2002.</w:t>
            </w:r>
          </w:p>
          <w:p>
            <w:pPr>
              <w:pStyle w:val="Normal"/>
              <w:widowControl w:val="false"/>
              <w:jc w:val="both"/>
              <w:rPr>
                <w:sz w:val="20"/>
              </w:rPr>
            </w:pPr>
            <w:r>
              <w:rPr>
                <w:sz w:val="20"/>
              </w:rPr>
            </w:r>
          </w:p>
          <w:p>
            <w:pPr>
              <w:pStyle w:val="Normal"/>
              <w:widowControl w:val="false"/>
              <w:jc w:val="both"/>
              <w:rPr>
                <w:sz w:val="20"/>
              </w:rPr>
            </w:pPr>
            <w:r>
              <w:rPr>
                <w:sz w:val="20"/>
              </w:rPr>
              <w:t>From July 1, 2002 through the end of the Transaction Term, there will be no charges for Excess Usage; however, for each kWh of Deficiency Usage at each Account for each month, you will pay us an amount equal to the Management Fee multiplied by the Deficiency Usage.</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TOC1"/>
              <w:widowControl w:val="false"/>
              <w:tabs>
                <w:tab w:val="clear" w:pos="8640"/>
                <w:tab w:val="clear" w:pos="9360"/>
                <w:tab w:val="clear" w:pos="10080"/>
                <w:tab w:val="left" w:pos="-720" w:leader="none"/>
              </w:tabs>
              <w:spacing w:before="60" w:after="60"/>
              <w:rPr/>
            </w:pPr>
            <w:r>
              <w:rPr/>
              <w:t>Check One</w:t>
            </w:r>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Yes</w:t>
            </w:r>
          </w:p>
        </w:tc>
        <w:tc>
          <w:tcPr>
            <w:tcW w:w="3870" w:type="dxa"/>
            <w:tcBorders/>
          </w:tcPr>
          <w:p>
            <w:pPr>
              <w:pStyle w:val="Normal"/>
              <w:widowControl w:val="false"/>
              <w:spacing w:before="60" w:after="60"/>
              <w:jc w:val="both"/>
              <w:rPr>
                <w:b/>
                <w:sz w:val="20"/>
              </w:rPr>
            </w:pPr>
            <w:r>
              <w:rPr>
                <w:b/>
                <w:sz w:val="20"/>
              </w:rPr>
              <w:t xml:space="preserve">X  No.  </w:t>
            </w:r>
            <w:r>
              <w:rPr>
                <w:sz w:val="20"/>
              </w:rPr>
              <w:t xml:space="preserve">Consistent with </w:t>
            </w:r>
            <w:r>
              <w:rPr>
                <w:sz w:val="20"/>
                <w:u w:val="single"/>
              </w:rPr>
              <w:t>Section 2.8</w:t>
            </w:r>
            <w:r>
              <w:rPr>
                <w:sz w:val="20"/>
              </w:rPr>
              <w:t xml:space="preserve"> of the Master Agreement, you will receive a consolidated invoice from your Utility and pay that invoice in accordance with your Utility’s instructions.</w:t>
            </w:r>
          </w:p>
        </w:tc>
        <w:tc>
          <w:tcPr>
            <w:tcW w:w="27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ind w:start="-18" w:end="0"/>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Maryland; therefore, the following additional provisions are included in this Transaction. </w:t>
            </w:r>
          </w:p>
          <w:p>
            <w:pPr>
              <w:pStyle w:val="Normal"/>
              <w:keepNext w:val="true"/>
              <w:widowControl w:val="false"/>
              <w:jc w:val="both"/>
              <w:rPr>
                <w:sz w:val="20"/>
              </w:rPr>
            </w:pPr>
            <w:r>
              <w:rPr>
                <w:sz w:val="20"/>
              </w:rPr>
            </w:r>
          </w:p>
          <w:p>
            <w:pPr>
              <w:pStyle w:val="Normal"/>
              <w:keepNext w:val="true"/>
              <w:widowControl w:val="false"/>
              <w:numPr>
                <w:ilvl w:val="0"/>
                <w:numId w:val="2"/>
              </w:numPr>
              <w:tabs>
                <w:tab w:val="clear" w:pos="720"/>
                <w:tab w:val="left" w:pos="792" w:leader="none"/>
              </w:tabs>
              <w:ind w:hanging="450" w:start="792" w:end="0"/>
              <w:jc w:val="both"/>
              <w:rPr>
                <w:sz w:val="20"/>
              </w:rPr>
            </w:pPr>
            <w:r>
              <w:rPr>
                <w:sz w:val="20"/>
                <w:u w:val="single"/>
              </w:rPr>
              <w:t>Waiver by Customer</w:t>
            </w:r>
            <w:r>
              <w:rPr>
                <w:sz w:val="20"/>
              </w:rPr>
              <w:t>.  Pursuant to PSC Orders No. 75949 and 76110, Customer hereby waives any right to the benefit of any consumer protection provisions required by the PSC which are not expressly set forth in this Agreement, including, without limitation, any right it may have to rescind this Agreement during a 10-day period following notification of Customer’s Utility of Customer’s enrollment by EESI and to avoid payment of a termination fee if it does so.  Customer agrees it will not attempt to exercise any such rescission right that may be provided for in any notice Customer may receive from its Utility.</w:t>
            </w:r>
          </w:p>
        </w:tc>
      </w:tr>
      <w:tr>
        <w:trPr/>
        <w:tc>
          <w:tcPr>
            <w:tcW w:w="2772" w:type="dxa"/>
            <w:tcBorders/>
          </w:tcPr>
          <w:p>
            <w:pPr>
              <w:pStyle w:val="Normal"/>
              <w:keepNext w:val="true"/>
              <w:widowControl w:val="false"/>
              <w:snapToGrid w:val="false"/>
              <w:rPr>
                <w:b/>
                <w:sz w:val="20"/>
              </w:rPr>
            </w:pPr>
            <w:r>
              <w:rPr>
                <w:b/>
                <w:sz w:val="20"/>
              </w:rPr>
            </w:r>
          </w:p>
        </w:tc>
        <w:tc>
          <w:tcPr>
            <w:tcW w:w="7416" w:type="dxa"/>
            <w:gridSpan w:val="5"/>
            <w:tcBorders/>
          </w:tcPr>
          <w:p>
            <w:pPr>
              <w:pStyle w:val="Normal"/>
              <w:keepNext w:val="true"/>
              <w:widowControl w:val="false"/>
              <w:snapToGrid w:val="false"/>
              <w:jc w:val="both"/>
              <w:rPr>
                <w:b/>
                <w:sz w:val="20"/>
              </w:rPr>
            </w:pPr>
            <w:r>
              <w:rPr>
                <w:b/>
                <w:sz w:val="20"/>
              </w:rPr>
            </w:r>
          </w:p>
        </w:tc>
      </w:tr>
    </w:tbl>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Author"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rHeight w:val="548" w:hRule="atLeast"/>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r>
        <w:trPr/>
        <w:tc>
          <w:tcPr>
            <w:tcW w:w="495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rPr>
                <w:sz w:val="20"/>
              </w:rPr>
            </w:pPr>
            <w:r>
              <w:rPr>
                <w:b/>
                <w:sz w:val="16"/>
              </w:rPr>
              <w:t>MD Master Conf Form DISC-INDEX Version 10-8-01</w:t>
            </w:r>
          </w:p>
        </w:tc>
        <w:tc>
          <w:tcPr>
            <w:tcW w:w="513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snapToGrid w:val="false"/>
              <w:rPr>
                <w:sz w:val="20"/>
              </w:rPr>
            </w:pPr>
            <w:r>
              <w:rPr>
                <w:sz w:val="20"/>
              </w:rPr>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Author"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Unknown Author" w:date="2000-08-01T17:43:00Z"/>
              </w:rPr>
              <w:t>Utility</w:t>
              <w:rPrChange w:id="0" w:author="Unknown Author" w:date="2000-08-01T17:43:00Z"/>
            </w:r>
          </w:p>
          <w:p>
            <w:pPr>
              <w:pStyle w:val="Heading5"/>
              <w:ind w:hanging="0" w:start="0"/>
              <w:rPr/>
            </w:pPr>
            <w:r>
              <w:rPr>
                <w:rPrChange w:id="0" w:author="Unknown Author"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rPr>
      </w:pPr>
      <w:r>
        <w:rPr>
          <w:b/>
        </w:rPr>
        <w:t>[ADD SCHEDULE 1-A IF ANTICIPATED USAGE SPECIFIED IN CONFIRM]</w:t>
      </w:r>
    </w:p>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Style w:val="PageNumber"/>
        <w:sz w:val="16"/>
      </w:rPr>
    </w:pPr>
    <w:r>
      <w:rPr/>
    </w:r>
  </w:p>
  <w:p>
    <w:pPr>
      <w:pStyle w:val="Footer"/>
      <w:tabs>
        <w:tab w:val="clear" w:pos="4680"/>
        <w:tab w:val="center" w:pos="5220" w:leader="none"/>
        <w:tab w:val="right" w:pos="9360" w:leader="none"/>
      </w:tabs>
      <w:rPr/>
    </w:pPr>
    <w:r>
      <w:rPr>
        <w:rStyle w:val="PageNumber"/>
        <w:i/>
        <w:sz w:val="16"/>
      </w:rPr>
      <w:t>MD Master confirm DISC-INDEX  10-8</w:t>
    </w:r>
    <w:r>
      <w:rPr>
        <w:rStyle w:val="PageNumbe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BodyText2">
    <w:name w:val="Body Text 2"/>
    <w:basedOn w:val="Normal"/>
    <w:qFormat/>
    <w:pPr/>
    <w:rPr>
      <w:b/>
      <w:sz w:val="20"/>
    </w:rPr>
  </w:style>
  <w:style w:type="paragraph" w:styleId="TOC1">
    <w:name w:val="toc 1"/>
    <w:basedOn w:val="Normal"/>
    <w:pPr>
      <w:tabs>
        <w:tab w:val="clear" w:pos="720"/>
        <w:tab w:val="left" w:pos="-720" w:leader="none"/>
        <w:tab w:val="right" w:pos="8640" w:leader="dot"/>
        <w:tab w:val="left" w:pos="9360" w:leader="dot"/>
        <w:tab w:val="left" w:pos="10080" w:leader="dot"/>
      </w:tabs>
    </w:pPr>
    <w:rPr>
      <w:sz w:val="20"/>
    </w:rPr>
  </w:style>
  <w:style w:type="paragraph" w:styleId="BodyTextIndent3">
    <w:name w:val="Body Text Indent 3"/>
    <w:basedOn w:val="Normal"/>
    <w:qFormat/>
    <w:pPr>
      <w:widowControl w:val="false"/>
      <w:tabs>
        <w:tab w:val="clear" w:pos="720"/>
        <w:tab w:val="left" w:pos="792" w:leader="none"/>
      </w:tabs>
      <w:ind w:hanging="0" w:start="52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2001-10-08T10:30:00Z</dcterms:created>
  <dc:creator>Mike Smith</dc:creator>
  <dc:description/>
  <dc:language>en-CA</dc:language>
  <cp:lastModifiedBy>msmith2</cp:lastModifiedBy>
  <cp:lastPrinted>2001-07-26T17:09:00Z</cp:lastPrinted>
  <dcterms:modified xsi:type="dcterms:W3CDTF">2001-10-08T10:32:00Z</dcterms:modified>
  <cp:revision>3</cp:revision>
  <dc:subject/>
  <dc:title>Transaction Confirmatino</dc:title>
</cp:coreProperties>
</file>