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Exhibit XX</w:t>
      </w:r>
    </w:p>
    <w:p>
      <w:pPr>
        <w:pStyle w:val="Normal"/>
        <w:jc w:val="center"/>
        <w:rPr/>
      </w:pPr>
      <w:r>
        <w:rPr/>
        <w:t>MDEA EPMI Financial Incentive Calculation</w:t>
      </w:r>
    </w:p>
    <w:p>
      <w:pPr>
        <w:pStyle w:val="Normal"/>
        <w:rPr/>
      </w:pPr>
      <w:r>
        <w:rPr/>
      </w:r>
    </w:p>
    <w:p>
      <w:pPr>
        <w:pStyle w:val="Normal"/>
        <w:rPr/>
      </w:pPr>
      <w:r>
        <w:rPr/>
        <w:t>MDEA and EPMI are financially incented to create value within the transaction through Profit and Savings.  MDEA and EPMI will share the Savings and Profits according to the following percentages:</w:t>
      </w:r>
    </w:p>
    <w:p>
      <w:pPr>
        <w:pStyle w:val="Normal"/>
        <w:rPr/>
      </w:pPr>
      <w:r>
        <w:rPr/>
      </w:r>
    </w:p>
    <w:p>
      <w:pPr>
        <w:pStyle w:val="Normal"/>
        <w:numPr>
          <w:ilvl w:val="0"/>
          <w:numId w:val="1"/>
        </w:numPr>
        <w:rPr/>
      </w:pPr>
      <w:r>
        <w:rPr/>
        <w:t>MDEA 60% and</w:t>
      </w:r>
    </w:p>
    <w:p>
      <w:pPr>
        <w:pStyle w:val="Normal"/>
        <w:numPr>
          <w:ilvl w:val="0"/>
          <w:numId w:val="1"/>
        </w:numPr>
        <w:rPr/>
      </w:pPr>
      <w:r>
        <w:rPr/>
        <w:t>EPMI 40%.</w:t>
      </w:r>
    </w:p>
    <w:p>
      <w:pPr>
        <w:pStyle w:val="Normal"/>
        <w:rPr/>
      </w:pPr>
      <w:r>
        <w:rPr/>
      </w:r>
    </w:p>
    <w:p>
      <w:pPr>
        <w:pStyle w:val="Normal"/>
        <w:rPr/>
      </w:pPr>
      <w:r>
        <w:rPr/>
        <w:t xml:space="preserve">Total Daily Profit per MWh is calculated as the sum of the product of MWh sold and the realized market price less the Production Cost. </w:t>
      </w:r>
    </w:p>
    <w:p>
      <w:pPr>
        <w:pStyle w:val="Normal"/>
        <w:rPr/>
      </w:pPr>
      <w:r>
        <w:rPr/>
      </w:r>
    </w:p>
    <w:p>
      <w:pPr>
        <w:pStyle w:val="Normal"/>
        <w:rPr/>
      </w:pPr>
      <w:r>
        <w:rPr/>
        <w:t>Savings per MWh is calculated as the positive difference between (a) the MDEA Production Cost for units that would have run if market power were not purchased to serve system load, and (b) the delivered cost of market power purchased to serve system load.</w:t>
      </w:r>
    </w:p>
    <w:p>
      <w:pPr>
        <w:pStyle w:val="Normal"/>
        <w:rPr/>
      </w:pPr>
      <w:r>
        <w:rPr/>
      </w:r>
    </w:p>
    <w:p>
      <w:pPr>
        <w:pStyle w:val="Normal"/>
        <w:rPr/>
      </w:pPr>
      <w:r>
        <w:rPr/>
        <w:t>Total Daily Savings is the product of (a) the Savings per MWh calculated for the day, times (b) the total MWh for the same day of market power purchased to serve system load.</w:t>
      </w:r>
    </w:p>
    <w:p>
      <w:pPr>
        <w:pStyle w:val="Normal"/>
        <w:rPr/>
      </w:pPr>
      <w:r>
        <w:rPr/>
      </w:r>
    </w:p>
    <w:p>
      <w:pPr>
        <w:pStyle w:val="Normal"/>
        <w:rPr/>
      </w:pPr>
      <w:r>
        <w:rPr/>
        <w:t>Production Cost = [(delivered gas cost x unit heat rate) + VOM] + [unit start charge/MWh block]</w:t>
      </w:r>
    </w:p>
    <w:p>
      <w:pPr>
        <w:pStyle w:val="Normal"/>
        <w:rPr/>
      </w:pPr>
      <w:r>
        <w:rPr/>
      </w:r>
    </w:p>
    <w:p>
      <w:pPr>
        <w:pStyle w:val="Normal"/>
        <w:rPr/>
      </w:pPr>
      <w:r>
        <w:rPr/>
        <w:t xml:space="preserve">Delivered gas cost is the daily, midpoint posting for ________ under the </w:t>
      </w:r>
      <w:r>
        <w:rPr>
          <w:u w:val="single"/>
        </w:rPr>
        <w:t>Gas Daily</w:t>
      </w:r>
      <w:r>
        <w:rPr/>
        <w:t xml:space="preserve"> Daily Price Survey.</w:t>
      </w:r>
    </w:p>
    <w:p>
      <w:pPr>
        <w:pStyle w:val="Normal"/>
        <w:rPr/>
      </w:pPr>
      <w:r>
        <w:rPr/>
      </w:r>
    </w:p>
    <w:p>
      <w:pPr>
        <w:pStyle w:val="Normal"/>
        <w:rPr/>
      </w:pPr>
      <w:r>
        <w:rPr/>
        <w:t>Unit heat rate is the heat rate for each effected unit as specified in Exhibit “1”, Facilities.</w:t>
      </w:r>
    </w:p>
    <w:p>
      <w:pPr>
        <w:pStyle w:val="Normal"/>
        <w:rPr/>
      </w:pPr>
      <w:r>
        <w:rPr/>
      </w:r>
    </w:p>
    <w:p>
      <w:pPr>
        <w:pStyle w:val="Normal"/>
        <w:rPr/>
      </w:pPr>
      <w:r>
        <w:rPr/>
        <w:t>VOM is the variable operation and maintenance cost for operating each effected unit as specified in Exhibit “1”, Facilities.</w:t>
      </w:r>
    </w:p>
    <w:p>
      <w:pPr>
        <w:pStyle w:val="Normal"/>
        <w:rPr/>
      </w:pPr>
      <w:r>
        <w:rPr/>
      </w:r>
    </w:p>
    <w:p>
      <w:pPr>
        <w:pStyle w:val="Normal"/>
        <w:rPr/>
      </w:pPr>
      <w:r>
        <w:rPr/>
        <w:t>Unit Start Charge is the cost to start-up each effected unit as specified in Exhibit “1”, Facilities, and includes (a) start-up gas quantity required for the effected unit times the delivered gas cost.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2001-04-10T16:34:00Z</dcterms:created>
  <dc:creator>David Fairley</dc:creator>
  <dc:description/>
  <dc:language>en-CA</dc:language>
  <cp:lastModifiedBy>rrorscha</cp:lastModifiedBy>
  <dcterms:modified xsi:type="dcterms:W3CDTF">2001-04-10T16:34:00Z</dcterms:modified>
  <cp:revision>2</cp:revision>
  <dc:subject/>
  <dc:title>MDEA savings calculation</dc:title>
</cp:coreProperties>
</file>