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ind w:hanging="2880" w:start="2880" w:end="0"/>
        <w:rPr/>
      </w:pPr>
      <w:r>
        <w:rPr/>
        <w:t xml:space="preserve">expressing the intent of  the parties to enter into an asset management agreement for a two(2) year </w:t>
      </w:r>
    </w:p>
    <w:p>
      <w:pPr>
        <w:pStyle w:val="Normal"/>
        <w:tabs>
          <w:tab w:val="clear" w:pos="720"/>
          <w:tab w:val="left" w:pos="-1440" w:leader="none"/>
        </w:tabs>
        <w:ind w:hanging="2880" w:start="2880" w:end="0"/>
        <w:rPr/>
      </w:pPr>
      <w:r>
        <w:rPr/>
        <w:t xml:space="preserve">period, this Interim Letter Agreement (“ILA”), effective May 1, 2001, will evidence the agreement </w:t>
      </w:r>
    </w:p>
    <w:p>
      <w:pPr>
        <w:pStyle w:val="Normal"/>
        <w:tabs>
          <w:tab w:val="clear" w:pos="720"/>
          <w:tab w:val="left" w:pos="-1440" w:leader="none"/>
        </w:tabs>
        <w:ind w:hanging="2880" w:start="2880" w:end="0"/>
        <w:rPr/>
      </w:pPr>
      <w:r>
        <w:rPr/>
        <w:t xml:space="preserve">as set forth in Article I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 CPUC </w:t>
      </w:r>
    </w:p>
    <w:p>
      <w:pPr>
        <w:pStyle w:val="Normal"/>
        <w:tabs>
          <w:tab w:val="clear" w:pos="720"/>
          <w:tab w:val="left" w:pos="-1440" w:leader="none"/>
        </w:tabs>
        <w:ind w:hanging="2880" w:start="2880" w:end="0"/>
        <w:rPr/>
      </w:pPr>
      <w:r>
        <w:rPr/>
        <w:t xml:space="preserve">and YCPSC collectively referred to herein as the “Cities”(and individually as “City”) and  Enron  </w:t>
      </w:r>
    </w:p>
    <w:p>
      <w:pPr>
        <w:pStyle w:val="Normal"/>
        <w:tabs>
          <w:tab w:val="clear" w:pos="720"/>
          <w:tab w:val="left" w:pos="-1440" w:leader="none"/>
        </w:tabs>
        <w:ind w:hanging="2880" w:start="2880" w:end="0"/>
        <w:rPr/>
      </w:pPr>
      <w:r>
        <w:rPr/>
        <w:t>Power Marketing, Inc., a Delaware corporation (“EPMI”), that  EPMI will , for a period of no more</w:t>
      </w:r>
    </w:p>
    <w:p>
      <w:pPr>
        <w:pStyle w:val="Normal"/>
        <w:tabs>
          <w:tab w:val="clear" w:pos="720"/>
          <w:tab w:val="left" w:pos="-1440" w:leader="none"/>
        </w:tabs>
        <w:ind w:hanging="2880" w:start="2880" w:end="0"/>
        <w:rPr/>
      </w:pPr>
      <w:r>
        <w:rPr/>
        <w:t xml:space="preserve">than one (1) month  pending the development and execution among the parties of detailed  contracts </w:t>
      </w:r>
    </w:p>
    <w:p>
      <w:pPr>
        <w:pStyle w:val="Normal"/>
        <w:tabs>
          <w:tab w:val="clear" w:pos="720"/>
          <w:tab w:val="left" w:pos="-1440" w:leader="none"/>
        </w:tabs>
        <w:ind w:hanging="2880" w:start="2880" w:end="0"/>
        <w:rPr/>
      </w:pPr>
      <w:r>
        <w:rPr/>
        <w:t xml:space="preserve">providing fuller and  more complete terms of the asset management agreement among the parties, </w:t>
      </w:r>
    </w:p>
    <w:p>
      <w:pPr>
        <w:pStyle w:val="Normal"/>
        <w:tabs>
          <w:tab w:val="clear" w:pos="720"/>
          <w:tab w:val="left" w:pos="-1440" w:leader="none"/>
        </w:tabs>
        <w:rPr/>
      </w:pPr>
      <w:r>
        <w:rPr/>
        <w:t xml:space="preserve">(a) act as the asset manager for all of The Cities’ power and gas resources, and (b) provide </w:t>
      </w:r>
    </w:p>
    <w:p>
      <w:pPr>
        <w:pStyle w:val="Normal"/>
        <w:tabs>
          <w:tab w:val="clear" w:pos="720"/>
          <w:tab w:val="left" w:pos="-1440" w:leader="none"/>
        </w:tabs>
        <w:rPr/>
      </w:pPr>
      <w:r>
        <w:rPr/>
        <w:t xml:space="preserve">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 and described in Exhibit 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
        <w:rPr/>
      </w:pPr>
      <w:r>
        <w:rPr/>
        <w:t>“</w:t>
      </w:r>
      <w:r>
        <w:rPr/>
        <w:t>Confidential Information” shall mean any confidential, proprietary or trade secret information of a plan, specification, pattern, procedure, design, device, list, concept, policy, program,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marketing and pricing.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t>
      </w:r>
    </w:p>
    <w:p>
      <w:pPr>
        <w:pStyle w:val="NormalIndent"/>
        <w:widowControl/>
        <w:ind w:hanging="0" w:end="0"/>
        <w:rPr/>
      </w:pPr>
      <w:r>
        <w:rPr/>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w:t>
      </w:r>
      <w:r>
        <w:rPr/>
        <w:t>Existing Transactions” means off-system contracted resources for Energy and existing gas transportation agreements as listed in Exhibit B.</w:t>
      </w:r>
    </w:p>
    <w:p>
      <w:pPr>
        <w:pStyle w:val="NormalIndent"/>
        <w:widowControl/>
        <w:ind w:hanging="0" w:end="0"/>
        <w:rPr/>
      </w:pPr>
      <w:r>
        <w:rPr/>
        <w:t xml:space="preserve"> “</w:t>
      </w:r>
      <w:r>
        <w:rPr/>
        <w:t>Facilities” means those electric generating assets and related facilities listed in Exhibit C.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rPr/>
      </w:pPr>
      <w:r>
        <w:rPr/>
      </w:r>
    </w:p>
    <w:p>
      <w:pPr>
        <w:pStyle w:val="Heading2"/>
        <w:ind w:hanging="0" w:start="0"/>
        <w:rPr/>
      </w:pPr>
      <w:r>
        <w:rPr/>
        <w:t>“</w:t>
      </w:r>
      <w:r>
        <w:rPr/>
        <w:t>Incentive Fee” means forty percent (40%) of the Savings and of the net profit from external sales of the Cities’ natural gas resources.</w:t>
      </w:r>
    </w:p>
    <w:p>
      <w:pPr>
        <w:pStyle w:val="Normal"/>
        <w:rPr/>
      </w:pPr>
      <w:r>
        <w:rPr/>
      </w:r>
    </w:p>
    <w:p>
      <w:pPr>
        <w:pStyle w:val="Heading2"/>
        <w:ind w:hanging="0" w:start="0"/>
        <w:rPr/>
      </w:pPr>
      <w:r>
        <w:rPr/>
        <w:t>“</w:t>
      </w:r>
      <w:r>
        <w:rPr/>
        <w:t>Market Price” is the price agreed by the parties to be paid by EPMI in any EPMI Transaction.</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 sold under EPMI Transactions.</w:t>
      </w:r>
    </w:p>
    <w:p>
      <w:pPr>
        <w:pStyle w:val="Normal"/>
        <w:rPr/>
      </w:pPr>
      <w:r>
        <w:rPr/>
      </w:r>
    </w:p>
    <w:p>
      <w:pPr>
        <w:pStyle w:val="Heading2"/>
        <w:ind w:hanging="0" w:start="0"/>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Transaction” means any arrangement with any party, including EPMI, for the sale of any Product but shall not include sales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rPr>
          <w:b/>
          <w:bCs/>
        </w:rPr>
      </w:pPr>
      <w:r>
        <w:rPr>
          <w:b/>
          <w:bCs/>
        </w:rPr>
      </w:r>
    </w:p>
    <w:p>
      <w:pPr>
        <w:pStyle w:val="Normal"/>
        <w:jc w:val="both"/>
        <w:rPr>
          <w:bCs/>
        </w:rPr>
      </w:pPr>
      <w:r>
        <w:rPr>
          <w:bCs/>
        </w:rPr>
        <w:t xml:space="preserve">The Proposed Transaction contemplated in this ILA includes (A) Asset Management Services and (B) Scheduling Services.  The scope of services for (A) and (B) above are provided on Exhibits A and D, respectively.  </w:t>
      </w:r>
    </w:p>
    <w:p>
      <w:pPr>
        <w:pStyle w:val="Normal"/>
        <w:jc w:val="both"/>
        <w:rPr>
          <w:bCs/>
        </w:rPr>
      </w:pPr>
      <w:r>
        <w:rPr>
          <w:bCs/>
        </w:rPr>
      </w:r>
    </w:p>
    <w:p>
      <w:pPr>
        <w:pStyle w:val="Normal"/>
        <w:jc w:val="both"/>
        <w:rPr/>
      </w:pPr>
      <w:r>
        <w:rPr/>
        <w:t>More particularly, the parties agree that:</w:t>
      </w:r>
    </w:p>
    <w:p>
      <w:pPr>
        <w:pStyle w:val="Normal"/>
        <w:jc w:val="both"/>
        <w:rPr/>
      </w:pPr>
      <w:r>
        <w:rPr/>
      </w:r>
    </w:p>
    <w:p>
      <w:pPr>
        <w:pStyle w:val="Heading2"/>
        <w:numPr>
          <w:ilvl w:val="1"/>
          <w:numId w:val="5"/>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4"/>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Heading2"/>
        <w:numPr>
          <w:ilvl w:val="0"/>
          <w:numId w:val="2"/>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rPr/>
      </w:pPr>
      <w:r>
        <w:rPr/>
        <w:t>(b)</w:t>
        <w:tab/>
        <w:t>MDEA and the Cities shall perform the following:</w:t>
      </w:r>
    </w:p>
    <w:p>
      <w:pPr>
        <w:pStyle w:val="Heading2"/>
        <w:tabs>
          <w:tab w:val="clear" w:pos="720"/>
          <w:tab w:val="left" w:pos="1800" w:leader="none"/>
        </w:tabs>
        <w:ind w:firstLine="720" w:start="720" w:end="0"/>
        <w:rPr/>
      </w:pPr>
      <w:r>
        <w:rPr/>
        <w:t>(1)  Operate and maintain the Facilities in accordance with Prudent Operating Practices and in accordance with the terms of this Agreement.</w:t>
      </w:r>
    </w:p>
    <w:p>
      <w:pPr>
        <w:pStyle w:val="Heading2"/>
        <w:ind w:firstLine="720" w:start="720" w:end="0"/>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rPr/>
      </w:pPr>
      <w:r>
        <w:rPr/>
        <w:t>(3)   Designate a responsible person to act as Energy Coordinator for MDEA under this Agreement, and two additional back up Energy Coordinators.</w:t>
      </w:r>
    </w:p>
    <w:p>
      <w:pPr>
        <w:pStyle w:val="Heading2"/>
        <w:ind w:firstLine="720" w:start="720" w:end="0"/>
        <w:rPr/>
      </w:pPr>
      <w:r>
        <w:rPr/>
        <w:t>(4)    Sell to EPMI Products (EPMI Transactions) as the same may in the discretion of the Cities be available from time to time.</w:t>
      </w:r>
    </w:p>
    <w:p>
      <w:pPr>
        <w:pStyle w:val="Normal"/>
        <w:keepNext w:val="true"/>
        <w:keepLines/>
        <w:ind w:start="1440" w:end="0"/>
        <w:rPr>
          <w:bCs/>
        </w:rPr>
      </w:pPr>
      <w:r>
        <w:rPr/>
        <w:t>(5)    Perform such other duties and obligations as are set forth in this ILA.</w:t>
      </w:r>
    </w:p>
    <w:p>
      <w:pPr>
        <w:pStyle w:val="Normal"/>
        <w:keepNext w:val="true"/>
        <w:keepLines/>
        <w:rPr>
          <w:bCs/>
        </w:rPr>
      </w:pPr>
      <w:r>
        <w:rPr>
          <w:bCs/>
        </w:rPr>
      </w:r>
    </w:p>
    <w:p>
      <w:pPr>
        <w:pStyle w:val="Normal"/>
        <w:ind w:firstLine="720" w:end="0"/>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Normal"/>
        <w:keepNext w:val="true"/>
        <w:keepLines/>
        <w:rPr>
          <w:bCs/>
        </w:rPr>
      </w:pPr>
      <w:r>
        <w:rPr>
          <w:bCs/>
        </w:rPr>
      </w:r>
    </w:p>
    <w:p>
      <w:pPr>
        <w:pStyle w:val="Normal"/>
        <w:numPr>
          <w:ilvl w:val="0"/>
          <w:numId w:val="5"/>
        </w:numPr>
        <w:jc w:val="both"/>
        <w:rPr>
          <w:b/>
        </w:rPr>
      </w:pPr>
      <w:r>
        <w:rPr>
          <w:b/>
        </w:rPr>
        <w:t xml:space="preserve">Asset Management Services.  </w:t>
      </w:r>
    </w:p>
    <w:p>
      <w:pPr>
        <w:pStyle w:val="Normal"/>
        <w:jc w:val="both"/>
        <w:rPr>
          <w:b/>
        </w:rPr>
      </w:pPr>
      <w:r>
        <w:rPr>
          <w:b/>
        </w:rPr>
      </w:r>
    </w:p>
    <w:p>
      <w:pPr>
        <w:pStyle w:val="Heading2"/>
        <w:ind w:firstLine="720" w:start="720" w:end="0"/>
        <w:rPr/>
      </w:pPr>
      <w:r>
        <w:rPr/>
        <w:t xml:space="preserve">The asset management services consist of EPMI offering ongoing power and gas resource optimization, standard economic dispatch procedures, hardware and software monitoring and control systems installation and tie-in to EPMI’s Houston systems and control room, set-up of internet based monitoring systems for The Cities, establishment of operational procedures between The Cities and EPMI.  </w:t>
      </w:r>
    </w:p>
    <w:p>
      <w:pPr>
        <w:pStyle w:val="Normal"/>
        <w:rPr/>
      </w:pPr>
      <w:r>
        <w:rPr/>
      </w:r>
    </w:p>
    <w:p>
      <w:pPr>
        <w:pStyle w:val="Heading2"/>
        <w:ind w:firstLine="720" w:start="270" w:end="0"/>
        <w:rPr/>
      </w:pPr>
      <w:r>
        <w:rPr/>
        <w:t>(c) All metering responsibilities shall be borne by MDEA.</w:t>
      </w:r>
    </w:p>
    <w:p>
      <w:pPr>
        <w:pStyle w:val="Normal"/>
        <w:rPr/>
      </w:pPr>
      <w:r>
        <w:rPr/>
      </w:r>
    </w:p>
    <w:p>
      <w:pPr>
        <w:pStyle w:val="Heading1"/>
        <w:keepLines/>
        <w:ind w:firstLine="810" w:start="180" w:end="0"/>
        <w:jc w:val="start"/>
        <w:rPr>
          <w:b w:val="false"/>
          <w:bCs/>
          <w:sz w:val="24"/>
        </w:rPr>
      </w:pPr>
      <w:r>
        <w:rPr>
          <w:b w:val="false"/>
          <w:bCs/>
          <w:sz w:val="24"/>
        </w:rPr>
        <w:t>(d) Fuel Management Services</w:t>
      </w:r>
    </w:p>
    <w:p>
      <w:pPr>
        <w:pStyle w:val="Normal"/>
        <w:rPr>
          <w:b/>
          <w:bCs/>
          <w:sz w:val="24"/>
        </w:rPr>
      </w:pPr>
      <w:r>
        <w:rPr>
          <w:b/>
          <w:bCs/>
          <w:sz w:val="24"/>
        </w:rPr>
      </w:r>
    </w:p>
    <w:p>
      <w:pPr>
        <w:pStyle w:val="Heading1"/>
        <w:ind w:firstLine="720" w:start="180" w:end="0"/>
        <w:jc w:val="start"/>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Normal"/>
        <w:rPr>
          <w:b/>
          <w:sz w:val="24"/>
        </w:rPr>
      </w:pPr>
      <w:r>
        <w:rPr>
          <w:b/>
          <w:sz w:val="24"/>
        </w:rPr>
      </w:r>
    </w:p>
    <w:p>
      <w:pPr>
        <w:pStyle w:val="Normal"/>
        <w:rPr>
          <w:b/>
        </w:rPr>
      </w:pPr>
      <w:r>
        <w:rPr>
          <w:b/>
        </w:rPr>
        <w:t>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w:t>
      </w:r>
    </w:p>
    <w:p>
      <w:pPr>
        <w:pStyle w:val="Normal"/>
        <w:rPr/>
      </w:pPr>
      <w:r>
        <w:rPr/>
      </w:r>
    </w:p>
    <w:p>
      <w:pPr>
        <w:pStyle w:val="Heading2"/>
        <w:numPr>
          <w:ilvl w:val="0"/>
          <w:numId w:val="3"/>
        </w:numPr>
        <w:rPr>
          <w:b/>
        </w:rPr>
      </w:pPr>
      <w:r>
        <w:rPr>
          <w:b/>
        </w:rPr>
        <w:t xml:space="preserve">Scheduling </w:t>
      </w:r>
    </w:p>
    <w:p>
      <w:pPr>
        <w:pStyle w:val="Heading2"/>
        <w:ind w:hanging="0" w:start="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ind w:hanging="0" w:start="0"/>
        <w:jc w:val="start"/>
        <w:rPr>
          <w:b w:val="false"/>
          <w:sz w:val="24"/>
        </w:rPr>
      </w:pPr>
      <w:r>
        <w:rPr>
          <w:b w:val="false"/>
          <w:sz w:val="24"/>
        </w:rPr>
        <w:t xml:space="preserve"> </w:t>
      </w:r>
    </w:p>
    <w:p>
      <w:pPr>
        <w:pStyle w:val="Normal"/>
        <w:rPr>
          <w:b/>
          <w:sz w:val="24"/>
        </w:rPr>
      </w:pPr>
      <w:r>
        <w:rPr>
          <w:b/>
          <w:sz w:val="24"/>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Normal"/>
        <w:autoSpaceDE w:val="false"/>
        <w:rPr/>
      </w:pPr>
      <w:r>
        <w:rPr/>
        <w:t>During the term of the ILA, the following transactions will be contemplated:</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EPMI purchases off-peak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on-peak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gas to run generation assets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excess generation from MDEA under an EPMI transaction</w:t>
      </w:r>
    </w:p>
    <w:p>
      <w:pPr>
        <w:pStyle w:val="Normal"/>
        <w:autoSpaceDE w:val="false"/>
        <w:rPr/>
      </w:pPr>
      <w:r>
        <w:rPr/>
      </w:r>
    </w:p>
    <w:p>
      <w:pPr>
        <w:pStyle w:val="Normal"/>
        <w:autoSpaceDE w:val="false"/>
        <w:rPr/>
      </w:pPr>
      <w:r>
        <w:rPr/>
        <w:t>Daily decisions will be made regarding serving native load via power purchased from the wholesale market or power generated from owned generation assets based on the target power production cost.  The target power production cost is characteristic of the Clarksdale and Yazoo City generation assets and is a function of but not necessarily limited to the following variables:</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 xml:space="preserve">specific unit heat rates, </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gas price, </w:t>
      </w:r>
    </w:p>
    <w:p>
      <w:pPr>
        <w:pStyle w:val="Normal"/>
        <w:autoSpaceDE w:val="false"/>
        <w:ind w:hanging="360" w:start="720" w:end="0"/>
        <w:rPr/>
      </w:pPr>
      <w:r>
        <w:rPr>
          <w:rFonts w:cs="Symbol" w:ascii="Symbol" w:hAnsi="Symbol"/>
        </w:rPr>
        <w:sym w:font="Symbol" w:char="f0b7"/>
      </w:r>
      <w:r>
        <w:rPr>
          <w:rFonts w:cs="Symbol" w:ascii="Symbol" w:hAnsi="Symbol"/>
        </w:rPr>
        <w:tab/>
      </w:r>
      <w:r>
        <w:rPr/>
        <w:t>variable operation and maintenance costs (VOM), and</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start-up and shut-down costs.  </w:t>
      </w:r>
    </w:p>
    <w:p>
      <w:pPr>
        <w:pStyle w:val="Normal"/>
        <w:autoSpaceDE w:val="false"/>
        <w:rPr/>
      </w:pPr>
      <w:r>
        <w:rPr/>
      </w:r>
    </w:p>
    <w:p>
      <w:pPr>
        <w:pStyle w:val="BodyText"/>
        <w:rPr/>
      </w:pPr>
      <w:r>
        <w:rPr/>
        <w:t xml:space="preserve">Each day, EPMI and MDEA’s energy coordinator will communicate on such issues as market conditions, MDEA load forecast, generation asset availability, unit availability, and maintenance to determine the target production cost for the day. The target production cost will be the day’s guideline for making power purchase/dispatch decisions.  </w:t>
      </w:r>
    </w:p>
    <w:p>
      <w:pPr>
        <w:pStyle w:val="Heading2"/>
        <w:ind w:hanging="0" w:start="0"/>
        <w:rPr>
          <w:b/>
          <w:bCs/>
          <w:u w:val="single"/>
        </w:rPr>
      </w:pPr>
      <w:r>
        <w:rPr>
          <w:b/>
          <w:bCs/>
          <w:u w:val="single"/>
        </w:rPr>
      </w:r>
    </w:p>
    <w:p>
      <w:pPr>
        <w:pStyle w:val="Heading2"/>
        <w:ind w:firstLine="720" w:start="0" w:end="0"/>
        <w:rPr/>
      </w:pPr>
      <w:r>
        <w:rPr/>
        <w:t>(a)</w:t>
        <w:tab/>
        <w:t xml:space="preserve">During the Term of this ILA, EPMI shall be entitled to a fee for performance as follows: </w:t>
      </w:r>
    </w:p>
    <w:p>
      <w:pPr>
        <w:pStyle w:val="Heading2"/>
        <w:ind w:hanging="0" w:start="0"/>
        <w:rPr/>
      </w:pPr>
      <w:r>
        <w:rPr/>
      </w:r>
    </w:p>
    <w:p>
      <w:pPr>
        <w:pStyle w:val="Heading2"/>
        <w:numPr>
          <w:ilvl w:val="2"/>
          <w:numId w:val="3"/>
        </w:numPr>
        <w:rPr/>
      </w:pPr>
      <w:r>
        <w:rPr/>
        <w:t xml:space="preserve">EPMI shall be paid a minimum monthly fee of $12,500 for the month of May.  The Monthly Fee shall be comprised of an Incentive Fee and a fee for the sale of off peak power as described below. </w:t>
      </w:r>
    </w:p>
    <w:p>
      <w:pPr>
        <w:pStyle w:val="Heading2"/>
        <w:numPr>
          <w:ilvl w:val="2"/>
          <w:numId w:val="3"/>
        </w:numPr>
        <w:rPr/>
      </w:pPr>
      <w:r>
        <w:rPr/>
        <w:t xml:space="preserve">EPMI shall be paid an Incentive Fee consisting of the sum of of (i) the Market Price for power purchased by MDEA, plus (ii) Forty Percent (40%) of  the Total Daily Savings.   Total Daily Savings is the product of (1) the Savings per MWh calculated for the day, times (2) the total MWh for the same day of market power purchased to serve system load.  Total Daily Profit per MWh is calculated as the sum of the product of MWh sold and the realized market price less the Target Production Cost. </w:t>
      </w:r>
    </w:p>
    <w:p>
      <w:pPr>
        <w:pStyle w:val="Normal"/>
        <w:jc w:val="both"/>
        <w:rPr/>
      </w:pPr>
      <w:r>
        <w:rPr/>
      </w:r>
    </w:p>
    <w:p>
      <w:pPr>
        <w:pStyle w:val="BodyTextIndent"/>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Normal"/>
        <w:ind w:start="2640" w:end="0"/>
        <w:jc w:val="both"/>
        <w:rPr/>
      </w:pPr>
      <w:r>
        <w:rPr/>
      </w:r>
    </w:p>
    <w:p>
      <w:pPr>
        <w:pStyle w:val="Normal"/>
        <w:ind w:start="1440" w:end="0"/>
        <w:jc w:val="both"/>
        <w:rPr/>
      </w:pPr>
      <w:r>
        <w:rPr/>
        <w:t>(3)</w:t>
        <w:tab/>
        <w:t>EPMI shall be paid $1/MWhr above the delivered price of purchases of Off-Peak Power.  These amounts shall not be included in the calculation of Profit and Savings.</w:t>
      </w:r>
    </w:p>
    <w:p>
      <w:pPr>
        <w:pStyle w:val="Normal"/>
        <w:jc w:val="both"/>
        <w:rPr/>
      </w:pPr>
      <w:r>
        <w:rPr/>
      </w:r>
    </w:p>
    <w:p>
      <w:pPr>
        <w:pStyle w:val="Heading2"/>
        <w:tabs>
          <w:tab w:val="clear" w:pos="720"/>
          <w:tab w:val="left" w:pos="0" w:leader="none"/>
        </w:tabs>
        <w:ind w:hanging="0" w:start="0"/>
        <w:rPr/>
      </w:pPr>
      <w:r>
        <w:rPr/>
        <w:t>(b)</w:t>
        <w:tab/>
        <w:t>During the Term of this ILA, EPMI shall be paid for gas supply sold to Clarksdale and Yazoo City individually, under the terms of the MGSSA, unless such gas supply purchase has been arranged by EPMI for purchase from a third party for sale to MDEA, in which case, MDEA shall pay such third party supplier directly based on invoices provided by the third party supplier.</w:t>
      </w:r>
    </w:p>
    <w:p>
      <w:pPr>
        <w:pStyle w:val="Heading2"/>
        <w:tabs>
          <w:tab w:val="clear" w:pos="720"/>
          <w:tab w:val="left" w:pos="0" w:leader="none"/>
        </w:tabs>
        <w:ind w:hanging="0" w:start="0"/>
        <w:rPr/>
      </w:pPr>
      <w:r>
        <w:rPr/>
        <w:t>During the Term of this ILA, EPMI shall be paid for power sold to MDEA under the terms and conditions of individual Confirmations (attached as Exhibit D) governing each transaction, until a MPPSA has been executed between the parties.</w:t>
      </w:r>
    </w:p>
    <w:p>
      <w:pPr>
        <w:pStyle w:val="Heading2"/>
        <w:tabs>
          <w:tab w:val="clear" w:pos="720"/>
          <w:tab w:val="left" w:pos="0" w:leader="none"/>
        </w:tabs>
        <w:ind w:hanging="0" w:start="0"/>
        <w:rPr/>
      </w:pPr>
      <w:r>
        <w:rPr/>
      </w:r>
    </w:p>
    <w:p>
      <w:pPr>
        <w:pStyle w:val="Normal"/>
        <w:rPr/>
      </w:pPr>
      <w:r>
        <w:rPr/>
        <w:t>(c)</w:t>
        <w:tab/>
        <w:t>The Parties acknowledge that upon the expiration of the Term or termination of this ILA, there may be one or more Structured Transactions directly between MDEA and a third party the term of which will continue beyond the expiration or termination of this ILA.  Prior to executing any Structured Transaction which might extend beyond the Term of this ILA, the Parties shall agree upon how the fee to be paid to EPMI will be determined upon termination or expiration of this ILA.</w:t>
      </w:r>
    </w:p>
    <w:p>
      <w:pPr>
        <w:pStyle w:val="Normal"/>
        <w:rPr/>
      </w:pPr>
      <w:r>
        <w:rPr/>
      </w:r>
    </w:p>
    <w:p>
      <w:pPr>
        <w:pStyle w:val="Heading2"/>
        <w:ind w:hanging="0" w:start="0"/>
        <w:rPr/>
      </w:pPr>
      <w:r>
        <w:rPr/>
        <w:t xml:space="preserve">(d)         EPMI shall submit to MDEA, unless otherwise agreed by the Parties, on or </w:t>
      </w:r>
    </w:p>
    <w:p>
      <w:pPr>
        <w:pStyle w:val="Heading2"/>
        <w:ind w:hanging="0" w:start="0"/>
        <w:rPr/>
      </w:pPr>
      <w:r>
        <w:rPr/>
        <w:t>before the tenth (10th) day of each calendar month, a statement for the preceding month detailing all information necessary to determine and calculate the savings and the fee to be paid EPMI.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proceeds of all Transactions, less any and all fees due EPMI pursuant to the terms of this Agreement by wire transfer on the 20th day of each calendar month (Payment Date), pursuant to instructions for such wire transfer provided by MDEA.  In the event that the proceeds are insufficient to cover the minimum monthly fee of Twelve Thousand Five Hundred Dollars ($12,500.00)  MDEA following receipt of a written invoice from EPMI, remit to EPMI the amount of funds necessary to make full payment of the minimum monthly fee in accordance with the Timely Payment of Purchases by Public Bodies Law of Mississippi.</w:t>
      </w:r>
    </w:p>
    <w:p>
      <w:pPr>
        <w:pStyle w:val="Heading2"/>
        <w:ind w:hanging="0" w:start="0"/>
        <w:rPr/>
      </w:pPr>
      <w:r>
        <w:rPr/>
        <w:t xml:space="preserve"> </w:t>
      </w:r>
      <w:r>
        <w:rPr/>
        <w:t>(e)</w:t>
        <w:tab/>
        <w:t xml:space="preserve">For the period during which this ILA is effective, EPMI shall be paid a fee equal to the sum of 1) the Incentive Fee  and 2) a fee of $1/MWhr above the delivered price for purchases of Off-Peak Power; provided, however, the fee shall be not less than   ($12,500.00) Dollars per calendar month.  For any part month, the minimum monthly amount shall be divided by thirty (30) and multiplied times the number of days in the part month in which this Agreement was in effect. </w:t>
      </w:r>
    </w:p>
    <w:p>
      <w:pPr>
        <w:pStyle w:val="Heading2"/>
        <w:ind w:firstLine="720" w:start="720" w:end="0"/>
        <w:rPr/>
      </w:pPr>
      <w:r>
        <w:rPr/>
      </w:r>
    </w:p>
    <w:p>
      <w:pPr>
        <w:pStyle w:val="Heading2"/>
        <w:tabs>
          <w:tab w:val="clear" w:pos="720"/>
          <w:tab w:val="left" w:pos="0" w:leader="none"/>
        </w:tabs>
        <w:ind w:hanging="0" w:start="0"/>
        <w:rPr/>
      </w:pPr>
      <w:r>
        <w:rPr/>
        <w:t>(f)</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(g)</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(h)</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b/>
        </w:rPr>
      </w:pPr>
      <w:r>
        <w:rPr>
          <w:b/>
        </w:rPr>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numPr>
          <w:ilvl w:val="0"/>
          <w:numId w:val="6"/>
        </w:numPr>
        <w:jc w:val="both"/>
        <w:rPr>
          <w:bCs/>
        </w:rPr>
      </w:pPr>
      <w:r>
        <w:rPr>
          <w:b/>
          <w:bCs/>
        </w:rPr>
        <w:t xml:space="preserve">Confidentiality.  </w:t>
      </w:r>
      <w:r>
        <w:rPr>
          <w:bCs/>
        </w:rPr>
        <w:t xml:space="preserve">The Parties acknowledge that The Cities are subject to the Mississippi </w:t>
      </w:r>
    </w:p>
    <w:p>
      <w:pPr>
        <w:pStyle w:val="Normal"/>
        <w:jc w:val="both"/>
        <w:rPr>
          <w:bCs/>
        </w:rPr>
      </w:pPr>
      <w:r>
        <w:rPr>
          <w:bCs/>
        </w:rPr>
        <w:t xml:space="preserve">Public Records Act of 1983, as amended, and to the extent permitted by such Act the Parties agree as follows: </w:t>
      </w:r>
    </w:p>
    <w:p>
      <w:pPr>
        <w:pStyle w:val="Normal"/>
        <w:jc w:val="both"/>
        <w:rPr>
          <w:bCs/>
        </w:rPr>
      </w:pPr>
      <w:r>
        <w:rPr>
          <w:bCs/>
        </w:rPr>
      </w:r>
    </w:p>
    <w:p>
      <w:pPr>
        <w:pStyle w:val="Normal"/>
        <w:ind w:firstLine="360" w:start="360" w:end="0"/>
        <w:jc w:val="both"/>
        <w:rPr/>
      </w:pPr>
      <w:r>
        <w:rPr/>
        <w:t>(a)</w:t>
      </w:r>
      <w:r>
        <w:rPr>
          <w:b/>
        </w:rPr>
        <w:t xml:space="preserve"> </w:t>
      </w:r>
      <w:r>
        <w:rPr/>
        <w:t>For a period ending two years after the effective date hereof, neither Party will disclose</w:t>
      </w:r>
    </w:p>
    <w:p>
      <w:pPr>
        <w:pStyle w:val="Normal"/>
        <w:jc w:val="both"/>
        <w:rPr/>
      </w:pPr>
      <w:r>
        <w:rPr/>
        <w:t xml:space="preserve"> </w:t>
      </w:r>
      <w:r>
        <w:rPr/>
        <w:t>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Neither Party will use confidential information other than for the purpose of evaluating, negotiating and consummating the proposed transactions relating to the Proposed Transactions.</w:t>
      </w:r>
    </w:p>
    <w:p>
      <w:pPr>
        <w:pStyle w:val="Normal"/>
        <w:ind w:firstLine="720" w:end="0"/>
        <w:jc w:val="both"/>
        <w:rPr/>
      </w:pPr>
      <w:r>
        <w:rPr/>
      </w:r>
    </w:p>
    <w:p>
      <w:pPr>
        <w:pStyle w:val="Normal"/>
        <w:ind w:firstLine="720" w:end="0"/>
        <w:jc w:val="both"/>
        <w:rPr>
          <w:b/>
        </w:rPr>
      </w:pPr>
      <w:r>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rPr>
      </w:pPr>
      <w:r>
        <w:rPr>
          <w:b/>
        </w:rPr>
      </w:r>
    </w:p>
    <w:p>
      <w:pPr>
        <w:pStyle w:val="Normal"/>
        <w:ind w:firstLine="720" w:end="0"/>
        <w:jc w:val="both"/>
        <w:rPr/>
      </w:pPr>
      <w:r>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ONTENDED TO BE COMPLETED.  THIS ILA: (1) IS MERELY INTENDED TO PROVIDE AN INTERIM ARRANGEMENT FOR INITIATION OF THE ASSET MAMGEMENT SERVICES UNTIL SUCH TIME AS  THE PARTIES HAVE COMPLETED AND FINALIZED THE FULL AND COMPLETE CONTRACT BETWEEN THE PARTIES.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ind w:firstLine="720" w:end="0"/>
        <w:rPr/>
      </w:pPr>
      <w:r>
        <w:rPr>
          <w:b/>
          <w:bCs/>
        </w:rPr>
        <w:t>K.</w:t>
        <w:tab/>
        <w:t xml:space="preserve">Termination.  </w:t>
      </w:r>
      <w:r>
        <w:rPr/>
        <w:t>If this IAL is terminated prior to May 31, EPMI shall be entitled to receive any unpaid Incentive Fee, in the minimum amount of $150,000 for costs incurred through the month of May unless specified otherwise in the definitive Asset Management Agreement</w:t>
      </w:r>
    </w:p>
    <w:p>
      <w:pPr>
        <w:pStyle w:val="Normal"/>
        <w:ind w:firstLine="720" w:end="0"/>
        <w:jc w:val="both"/>
        <w:rPr/>
      </w:pPr>
      <w:r>
        <w:rPr/>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ind w:start="288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MDEA_of_ILA__RCR_.doc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MDEA_of_ILA__RCR_.doc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2"/>
      <w:numFmt w:val="upperLetter"/>
      <w:lvlText w:val="%1."/>
      <w:lvlJc w:val="start"/>
      <w:pPr>
        <w:tabs>
          <w:tab w:val="num" w:pos="270"/>
        </w:tabs>
        <w:ind w:start="270" w:hanging="360"/>
      </w:pPr>
      <w:rPr>
        <w:rFonts w:ascii="Times New Roman Bold;Times New Roman" w:hAnsi="Times New Roman Bold;Times New Roman" w:cs="Times New Roman Bold;Times New Roman"/>
      </w:rPr>
    </w:lvl>
    <w:lvl w:ilvl="1">
      <w:start w:val="1"/>
      <w:numFmt w:val="lowerLetter"/>
      <w:lvlText w:val="(%2)"/>
      <w:lvlJc w:val="start"/>
      <w:pPr>
        <w:tabs>
          <w:tab w:val="num" w:pos="2070"/>
        </w:tabs>
        <w:ind w:start="2070" w:hanging="1440"/>
      </w:pPr>
      <w:rPr/>
    </w:lvl>
    <w:lvl w:ilvl="2">
      <w:start w:val="1"/>
      <w:numFmt w:val="decimal"/>
      <w:lvlText w:val="(%3)"/>
      <w:lvlJc w:val="start"/>
      <w:pPr>
        <w:tabs>
          <w:tab w:val="num" w:pos="2640"/>
        </w:tabs>
        <w:ind w:start="2640" w:hanging="1110"/>
      </w:pPr>
      <w:r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4">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upperLetter"/>
      <w:lvlText w:val="%1."/>
      <w:lvlJc w:val="start"/>
      <w:pPr>
        <w:tabs>
          <w:tab w:val="num" w:pos="720"/>
        </w:tabs>
        <w:ind w:start="720" w:hanging="360"/>
      </w:pPr>
      <w:rPr>
        <w:b/>
        <w:rFonts w:ascii="Times New Roman Bold;Times New Roman" w:hAnsi="Times New Roman Bold;Times New Roman" w:cs="Times New Roman Bold;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Times New Roman" w:hAnsi="Times New Roman Bold;Times New Roman" w:cs="Times New Roman Bold;Times New Roman"/>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Times New Roman Bold;Times New Roman" w:hAnsi="Times New Roman Bold;Times New Roman" w:cs="Times New Roman Bold;Times New Roman"/>
      <w:b/>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Times New Roman" w:hAnsi="Times New Roman" w:cs="Times New Roman"/>
      <w:b w:val="false"/>
      <w:i w:val="false"/>
      <w:sz w:val="22"/>
      <w:u w:val="none"/>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ind w:hanging="0" w:start="26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2001-04-28T14:44:00Z</dcterms:created>
  <dc:creator>swd</dc:creator>
  <dc:description/>
  <dc:language>en-CA</dc:language>
  <cp:lastModifiedBy>rrorscha</cp:lastModifiedBy>
  <cp:lastPrinted>2001-04-28T12:18:00Z</cp:lastPrinted>
  <dcterms:modified xsi:type="dcterms:W3CDTF">2001-04-28T14:55:00Z</dcterms:modified>
  <cp:revision>5</cp:revision>
  <dc:subject/>
  <dc:title> </dc:title>
</cp:coreProperties>
</file>