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20" w:after="120"/>
        <w:jc w:val="center"/>
        <w:rPr>
          <w:b/>
        </w:rPr>
      </w:pPr>
      <w:r>
        <w:rPr>
          <w:b/>
        </w:rPr>
        <w:t>ENERGY MANAGEMENT SERVICES AGREEMENT</w:t>
      </w:r>
    </w:p>
    <w:p>
      <w:pPr>
        <w:pStyle w:val="NormalIndent"/>
        <w:widowControl/>
        <w:ind w:firstLine="720" w:end="0"/>
        <w:rPr/>
      </w:pPr>
      <w:r>
        <w:rPr/>
        <w:t>This Energy Management Services Agreement (Agreement) is made effective as of March ___, 2001 by and between []</w:t>
      </w:r>
      <w:del w:id="0" w:author="kmann" w:date="2001-04-02T16:57:00Z">
        <w:r>
          <w:rPr/>
          <w:delText>Frontera Ge</w:delText>
        </w:r>
      </w:del>
      <w:r>
        <w:rPr/>
        <w:t>(MDEA or Customer), a Delaware limited partnership, and Enron Power Marketing, Inc. (EPMI), a Delaware corporation.  MDEA and EPMI are referred to sometimes as Party or Parties as the context may require.</w:t>
      </w:r>
    </w:p>
    <w:p>
      <w:pPr>
        <w:pStyle w:val="NormalIndent"/>
        <w:widowControl/>
        <w:ind w:hanging="0" w:end="0"/>
        <w:rPr>
          <w:b/>
        </w:rPr>
      </w:pPr>
      <w:r>
        <w:rPr>
          <w:b/>
        </w:rPr>
        <w:t>THE PARTIES REPRESENT, AS FOLLOWS:</w:t>
      </w:r>
    </w:p>
    <w:p>
      <w:pPr>
        <w:pStyle w:val="NormalIndent"/>
        <w:widowControl/>
        <w:ind w:firstLine="720" w:end="0"/>
        <w:rPr/>
      </w:pPr>
      <w:r>
        <w:rPr>
          <w:b/>
        </w:rPr>
        <w:t xml:space="preserve">A.  </w:t>
      </w:r>
      <w:r>
        <w:rPr/>
        <w:t xml:space="preserve">MDEA is a [qualified wholesale electric generating company with authority to sell electric power at wholesale at market-based rates and is the owner and operator of a natural gas-fired electric generating plant located in [] (Facilities), which is interconnected with the electric transmission system governed by the [Southeastern Electric Reliability Council] (SERC) and delivers power generated from the Facilities into the  [] transmission systems.  The Facilities have a nominal generating capacity of [] Mw.] </w:t>
      </w:r>
    </w:p>
    <w:p>
      <w:pPr>
        <w:pStyle w:val="NormalIndent"/>
        <w:widowControl/>
        <w:ind w:firstLine="720" w:end="0"/>
        <w:rPr/>
      </w:pPr>
      <w:r>
        <w:rPr>
          <w:b/>
        </w:rPr>
        <w:t xml:space="preserve">B.  </w:t>
      </w:r>
      <w:r>
        <w:rPr/>
        <w:t xml:space="preserve">EPMI is a wholesale power marketer authorized to buy and sell electric power at wholesale in interstate commerce in the United States and, by and through its affiliated companies, is authorized to buy and sell electric power in the [], and is in the business of buying, marketing, selling and causing the delivery of capacity, energy and ancillary services in various geographic markets, including the SERC and (through its affiliated companies) wholesale electric markets, and (through its affiliated companies) is in the business of buying, transporting, nominating and scheduling natural gas on the inter-and intrastate natural gas transportation systems. </w:t>
      </w:r>
    </w:p>
    <w:p>
      <w:pPr>
        <w:pStyle w:val="NormalIndent"/>
        <w:widowControl/>
        <w:ind w:firstLine="720" w:end="0"/>
        <w:rPr/>
      </w:pPr>
      <w:r>
        <w:rPr>
          <w:b/>
        </w:rPr>
        <w:t xml:space="preserve">C.  </w:t>
      </w:r>
      <w:r>
        <w:rPr/>
        <w:t>MDEA desires to engage EPMI to (or to cause one of its affiliates to) market and schedule the energy, capacity and ancillary services available from the Facilities, and to act on behalf of MDEA’s to arrange for the purchase, transport, nomination and scheduling of natural gas supplies for use as fuel at the Facilities, and to provide other services to MDEA as more particularly described below, and subject to the terms, conditions and limitations set forth in this Agreement.  MDEA does not seek EPMI’s services as a commodity advisor nor does it seek EPMI’s service as a fiduciary under this Agreement.</w:t>
      </w:r>
    </w:p>
    <w:p>
      <w:pPr>
        <w:pStyle w:val="NormalIndent"/>
        <w:widowControl/>
        <w:ind w:firstLine="720" w:end="0"/>
        <w:rPr/>
      </w:pPr>
      <w:r>
        <w:rPr>
          <w:b/>
        </w:rPr>
        <w:t xml:space="preserve">D.  </w:t>
      </w:r>
      <w:r>
        <w:rPr/>
        <w:t>EPMI desires to market and schedule either directly or for the benefit of MDEA, the energy, capacity, and ancillary services produced by the Facilities, and to act on MDEA’s behalf to arrange for the purchase, transport, nomination and scheduling of natural gas supplies for use as fuel at the Facilities and to assist MDEA in optimizing the value of the Facilities by seeking to maximize Net Revenues and other services to MDEA as more particularly described below, and subject to the terms, conditions and limitations set forth in this Agreement.</w:t>
      </w:r>
    </w:p>
    <w:p>
      <w:pPr>
        <w:pStyle w:val="NormalIndent"/>
        <w:widowControl/>
        <w:ind w:hanging="0" w:end="0"/>
        <w:rPr>
          <w:b/>
        </w:rPr>
      </w:pPr>
      <w:r>
        <w:rPr>
          <w:b/>
        </w:rPr>
        <w:t>THEREFORE, THE PARTIES AGREE, AS FOLLOWS:</w:t>
      </w:r>
    </w:p>
    <w:p>
      <w:pPr>
        <w:pStyle w:val="NormalIndent"/>
        <w:widowControl/>
        <w:ind w:hanging="0" w:end="0"/>
        <w:rPr/>
      </w:pPr>
      <w:r>
        <w:rPr>
          <w:b/>
        </w:rPr>
        <w:t>1.</w:t>
        <w:tab/>
        <w:t xml:space="preserve">DEFINITIONS.  </w:t>
      </w:r>
      <w:r>
        <w:rPr/>
        <w:t>When used in this Agreement, the following capitalized terms shall have the following meanings:</w:t>
      </w:r>
    </w:p>
    <w:p>
      <w:pPr>
        <w:pStyle w:val="NormalIndent"/>
        <w:widowControl/>
        <w:ind w:hanging="0" w:end="0"/>
        <w:rPr/>
      </w:pPr>
      <w:r>
        <w:rPr/>
        <w:t>“</w:t>
      </w:r>
      <w:r>
        <w:rPr/>
        <w:t>Agreement” means this Agreement and all exhibits, attachments or any revision, modification or change to such agreements, or any of the exhibits or attachments.</w:t>
      </w:r>
    </w:p>
    <w:p>
      <w:pPr>
        <w:pStyle w:val="NormalIndent"/>
        <w:widowControl/>
        <w:ind w:hanging="0" w:end="0"/>
        <w:rPr/>
      </w:pPr>
      <w:r>
        <w:rPr/>
        <w:t>“</w:t>
      </w:r>
      <w:r>
        <w:rPr/>
        <w:t>Ancillary Services” or “AS” means those services recognized by Entergy’s interconnect agreement with MDEA [or Entergy’s tariff?].</w:t>
      </w:r>
    </w:p>
    <w:p>
      <w:pPr>
        <w:pStyle w:val="NormalIndent"/>
        <w:widowControl/>
        <w:ind w:hanging="0" w:end="0"/>
        <w:rPr/>
      </w:pPr>
      <w:r>
        <w:rPr/>
        <w:t>“</w:t>
      </w:r>
      <w:r>
        <w:rPr/>
        <w:t xml:space="preserve">Available Energy” means Energy that is available for sale on any given day that is in excess of (i) MDEA’s Native Load, and (ii) the Energy required to be sold under any Existing Transactions or [previously entered into Transactions?], up to the total amount of Energy on any day that can be produced from the Facilities. </w:t>
      </w:r>
    </w:p>
    <w:p>
      <w:pPr>
        <w:pStyle w:val="NormalIndent"/>
        <w:widowControl/>
        <w:ind w:hanging="0" w:end="0"/>
        <w:rPr/>
      </w:pPr>
      <w:r>
        <w:rPr/>
        <w:t>“</w:t>
      </w:r>
      <w:r>
        <w:rPr/>
        <w:t>Back-to-Back Transaction” means the sale by EPMI of a Product to a third party as a result of EPMI's marketing obligations under this Agreement which is then matched to a sale of the same Product by MDEA to EPMI under the MPPSA between the Parties.</w:t>
      </w:r>
    </w:p>
    <w:p>
      <w:pPr>
        <w:pStyle w:val="NormalIndent"/>
        <w:widowControl/>
        <w:ind w:hanging="0" w:end="0"/>
        <w:rPr/>
      </w:pPr>
      <w:r>
        <w:rPr/>
        <w:t>“</w:t>
      </w:r>
      <w:r>
        <w:rPr/>
        <w:t>Business Day” means any day except Saturday or Sunday, or a Federal Reserve Bank Holiday.  A Business Day begins at 8:00 a.m. and ends at 5:00 p.m. local time for the relevant Party's principal place of business.</w:t>
      </w:r>
    </w:p>
    <w:p>
      <w:pPr>
        <w:pStyle w:val="NormalIndent"/>
        <w:widowControl/>
        <w:ind w:hanging="0" w:end="0"/>
        <w:rPr/>
      </w:pPr>
      <w:r>
        <w:rPr/>
        <w:t>“</w:t>
      </w:r>
      <w:r>
        <w:rPr/>
        <w:t>Capacity” means the available generating capacity from the Facilities, sold as a product when recognized by [SERC?] as a product that can be sold under the [SERC?] operating rules and procedures.</w:t>
      </w:r>
    </w:p>
    <w:p>
      <w:pPr>
        <w:pStyle w:val="NormalIndent"/>
        <w:widowControl/>
        <w:ind w:hanging="0" w:end="0"/>
        <w:rPr/>
      </w:pPr>
      <w:r>
        <w:rPr/>
        <w:t>“</w:t>
      </w:r>
      <w:r>
        <w:rPr/>
        <w:t xml:space="preserve">Communication Procedures” means the procedures agreed to, adopted, and employed by the Parties from time to time for the exchange of information between Energy Coordinators necessary or desirable in determining the Products available under this Agreement, and to acquire, schedule and arrange Fuel-Related Transactions for the Facilities. </w:t>
      </w:r>
    </w:p>
    <w:p>
      <w:pPr>
        <w:pStyle w:val="NormalIndent"/>
        <w:widowControl/>
        <w:ind w:hanging="0" w:end="0"/>
        <w:rPr/>
      </w:pPr>
      <w:r>
        <w:rPr/>
        <w:t>“</w:t>
      </w:r>
      <w:r>
        <w:rPr/>
        <w:t>Confidential Information” shall have the meaning set forth in Section 25</w:t>
      </w:r>
    </w:p>
    <w:p>
      <w:pPr>
        <w:pStyle w:val="NormalIndent"/>
        <w:widowControl/>
        <w:ind w:hanging="0" w:end="0"/>
        <w:rPr/>
      </w:pPr>
      <w:r>
        <w:rPr/>
        <w:t>“</w:t>
      </w:r>
      <w:r>
        <w:rPr/>
        <w:t>Confirmation” means the document provided for under the MPPSA with MDEA and with the corresponding third party under a Back-to-Back Transaction which specifies the Product being sold, the duration of the Transaction and the other terms of such sale, including price.</w:t>
      </w:r>
    </w:p>
    <w:p>
      <w:pPr>
        <w:pStyle w:val="Heading2"/>
        <w:widowControl/>
        <w:ind w:hanging="0" w:end="0"/>
        <w:rPr/>
      </w:pPr>
      <w:r>
        <w:rPr/>
        <w:t>"Costs” means, when applicable to any Transaction, all costs, liabilities, fees and expenses (reduced by any credits) incurred by either MDEA or EPMI (excluding EPMI's internal costs and allocated overhead) in connection with (a) the scheduling, transmission and delivery of Products, (b) the provision of QSE Services pursuant to Appendix A, and/or (c) Back-to-Back Transactions entered into between EPMI and third parties. Costs shall include but not be limited to: (i) transmission and distribution wheeling, (ii) congestion costs, (iii) scheduling fees, (iv) ISO fees, (v) transmission and distribution losses, (vi) monthly data communication costs, (vii) the cost of Ancillary Services, (viii) control area services costs, (ix) inadvertent energy flow charges, (x) imbalance charges, (xi) SERC-imposed penalties; (xii) taxes (other than income taxes); (xiii) fees or charges imposed by the Federal Energy Regulatory Commission (FERC), SERC or other regulatory authorities; (xiv) broker fees and costs; (xv) Charge Reimbursements (as defined in Appendix A), (xvi) other costs incurred by EPMI in providing the QSE Services and (xvii) the cost of replacement capacity or energy purchased by EPMI or MDEA if required to meet contractual commitments in any Back-to-Back Transaction or other Structured Transaction due to a Forced Outage or other circumstances affecting the ability of the Facilities to fulfill firm commitments (provided that the contractual commitments resulting in such costs were undertaken pursuant to the MDEA-approved Marketing Strategy). Costs do not include Existing Transaction Costs or Costs attributable to EPMI's gross negligence or willful and wanton misconduct in carrying out its duties as QSE or otherwise under this Agreement.</w:t>
      </w:r>
    </w:p>
    <w:p>
      <w:pPr>
        <w:pStyle w:val="Heading2"/>
        <w:widowControl/>
        <w:ind w:hanging="0" w:end="0"/>
        <w:rPr/>
      </w:pPr>
      <w:r>
        <w:rPr/>
        <w:t>“</w:t>
      </w:r>
      <w:r>
        <w:rPr/>
        <w:t>CPT” means Central prevailing time.</w:t>
      </w:r>
    </w:p>
    <w:p>
      <w:pPr>
        <w:pStyle w:val="NormalIndent"/>
        <w:widowControl/>
        <w:ind w:hanging="0" w:end="0"/>
        <w:rPr/>
      </w:pPr>
      <w:r>
        <w:rPr/>
        <w:t>“</w:t>
      </w:r>
      <w:r>
        <w:rPr/>
        <w:t xml:space="preserve">Delivery Point” means (i) [the busbar of the Facilities located at the interconnection between Clarksdale and Yazoo City transmission system at the 138 kV switching station (located immediately south of CPL’s J.L. Bates 138 kV substation)]; (ii) the point specified in any Back-to-Back Transaction, EPMI Transaction or Structured Transaction at which Products are to be tendered under a Confirmation; (iii) the interconnection of the Facilities and the transmission system of Comisión Federal de Electricidad.  </w:t>
      </w:r>
    </w:p>
    <w:p>
      <w:pPr>
        <w:pStyle w:val="NormalIndent"/>
        <w:widowControl/>
        <w:ind w:hanging="0" w:end="0"/>
        <w:rPr/>
      </w:pPr>
      <w:r>
        <w:rPr/>
        <w:t>“</w:t>
      </w:r>
      <w:r>
        <w:rPr/>
        <w:t>Defaulting Party” means a Party to this Agreement which, through action or inaction, has caused an Event of Default under Section 17 of this Agreement.</w:t>
      </w:r>
    </w:p>
    <w:p>
      <w:pPr>
        <w:pStyle w:val="NormalIndent"/>
        <w:widowControl/>
        <w:ind w:hanging="0" w:end="0"/>
        <w:rPr/>
      </w:pPr>
      <w:r>
        <w:rPr/>
        <w:t>“</w:t>
      </w:r>
      <w:r>
        <w:rPr/>
        <w:t>Disputing Party” means a Party to this Agreement that has raised a dispute concerning the performance of the other Party under this Agreement, or which has disputed the correctness of any invoice or statement required under this Agreement.</w:t>
      </w:r>
    </w:p>
    <w:p>
      <w:pPr>
        <w:pStyle w:val="NormalIndent"/>
        <w:widowControl/>
        <w:ind w:hanging="0" w:end="0"/>
        <w:rPr/>
      </w:pPr>
      <w:r>
        <w:rPr/>
        <w:t>“</w:t>
      </w:r>
      <w:r>
        <w:rPr/>
        <w:t>Effective Date” means the date specified in the introductory paragraph of this Agreement.</w:t>
      </w:r>
    </w:p>
    <w:p>
      <w:pPr>
        <w:pStyle w:val="NormalIndent"/>
        <w:widowControl/>
        <w:ind w:hanging="0" w:end="0"/>
        <w:rPr/>
      </w:pPr>
      <w:r>
        <w:rPr/>
        <w:t>“</w:t>
      </w:r>
      <w:r>
        <w:rPr/>
        <w:t>EPMI” means Enron Power Marketing, Inc., or any permitted successor or assign.</w:t>
      </w:r>
    </w:p>
    <w:p>
      <w:pPr>
        <w:pStyle w:val="NormalIndent"/>
        <w:widowControl/>
        <w:ind w:hanging="0" w:end="0"/>
        <w:rPr/>
      </w:pPr>
      <w:r>
        <w:rPr/>
        <w:t>"EPMI Transaction" means a Transaction which is not a Back-to-Back Transaction, but under which MDEA agrees to sell Products under the MPPSA to EPMI.</w:t>
      </w:r>
    </w:p>
    <w:p>
      <w:pPr>
        <w:pStyle w:val="NormalIndent"/>
        <w:widowControl/>
        <w:ind w:hanging="0" w:end="0"/>
        <w:rPr/>
      </w:pPr>
      <w:r>
        <w:rPr/>
        <w:t>“</w:t>
      </w:r>
      <w:r>
        <w:rPr/>
        <w:t>Energy” means three-phase, 60-cycle alternating current electric energy.</w:t>
      </w:r>
    </w:p>
    <w:p>
      <w:pPr>
        <w:pStyle w:val="NormalIndent"/>
        <w:widowControl/>
        <w:ind w:hanging="0" w:end="0"/>
        <w:rPr/>
      </w:pPr>
      <w:r>
        <w:rPr/>
        <w:t>“</w:t>
      </w:r>
      <w:r>
        <w:rPr/>
        <w:t>Energy Coordinator” means the person named from time to time by each Party, in accordance with Section 3 hereof, to exchange information between the Parties and to coordinate the fulfillment of the duties of the Parties under this Agreement.</w:t>
      </w:r>
    </w:p>
    <w:p>
      <w:pPr>
        <w:pStyle w:val="NormalIndent"/>
        <w:widowControl/>
        <w:ind w:hanging="0" w:end="0"/>
        <w:rPr/>
      </w:pPr>
      <w:r>
        <w:rPr/>
        <w:t>“</w:t>
      </w:r>
      <w:r>
        <w:rPr/>
        <w:t>SERC” means the Southeastern Electric Reliability Council, or any successor organization having responsibility for the transmission of electric energy and the establishment or rules, procedures, Protocols and other restrictions or limitations concerning the transmission of Energy from the Facilities.</w:t>
      </w:r>
    </w:p>
    <w:p>
      <w:pPr>
        <w:pStyle w:val="NormalIndent"/>
        <w:widowControl/>
        <w:ind w:hanging="0" w:end="0"/>
        <w:rPr/>
      </w:pPr>
      <w:r>
        <w:rPr/>
        <w:t>“</w:t>
      </w:r>
      <w:r>
        <w:rPr/>
        <w:t xml:space="preserve">SERC ISO” means the SERC Independent System Operator as that term is used and defined in the Protocols. </w:t>
      </w:r>
    </w:p>
    <w:p>
      <w:pPr>
        <w:pStyle w:val="NormalIndent"/>
        <w:widowControl/>
        <w:ind w:hanging="0" w:end="0"/>
        <w:rPr/>
      </w:pPr>
      <w:r>
        <w:rPr/>
        <w:t>“</w:t>
      </w:r>
      <w:r>
        <w:rPr/>
        <w:t>ET Fuel Costs” means any Fuel Costs to the extent that they relate to the procurement of fuel needed in connection with Existing Transactions.  ET Fuel Costs shall be calculated by multiplying (i) the weighted average Fuel Costs per MWh generated by the Facilities each month by (ii) the number of MWh’s sold in such month under Existing Transactions.</w:t>
      </w:r>
    </w:p>
    <w:p>
      <w:pPr>
        <w:pStyle w:val="NormalIndent"/>
        <w:widowControl/>
        <w:ind w:hanging="0" w:end="0"/>
        <w:rPr/>
      </w:pPr>
      <w:r>
        <w:rPr/>
        <w:t>“</w:t>
      </w:r>
      <w:r>
        <w:rPr/>
        <w:t>Event of Default” means any one or more of the actions or inactions described or set forth in Section 17 of this Agreement, whether or not any action is taken in connection with such Event of Default by the Performing Party.</w:t>
      </w:r>
    </w:p>
    <w:p>
      <w:pPr>
        <w:pStyle w:val="NormalIndent"/>
        <w:widowControl/>
        <w:ind w:hanging="0" w:end="0"/>
        <w:rPr/>
      </w:pPr>
      <w:r>
        <w:rPr/>
        <w:t>“</w:t>
      </w:r>
      <w:r>
        <w:rPr/>
        <w:t>Existing Transaction Costs” means Costs incurred by either EPMI or MDEA in fulfilling MDEA’s obligations under any Existing Transaction.</w:t>
      </w:r>
    </w:p>
    <w:p>
      <w:pPr>
        <w:pStyle w:val="NormalIndent"/>
        <w:widowControl/>
        <w:ind w:hanging="0" w:end="0"/>
        <w:rPr/>
      </w:pPr>
      <w:r>
        <w:rPr/>
        <w:t>“</w:t>
      </w:r>
      <w:r>
        <w:rPr/>
        <w:t>First Contingency Emergency Dispatch” means the generation of Energy by the Facilities pursuant to direction by Entergy for purposes of alleviating a transmission system emergency irrespective of whether such Energy is committed under any Transaction entered into by MDEA or EPMI.</w:t>
      </w:r>
    </w:p>
    <w:p>
      <w:pPr>
        <w:pStyle w:val="NormalIndent"/>
        <w:widowControl/>
        <w:ind w:hanging="0" w:end="0"/>
        <w:rPr/>
      </w:pPr>
      <w:r>
        <w:rPr/>
        <w:t>“</w:t>
      </w:r>
      <w:r>
        <w:rPr/>
        <w:t>Existing Transaction” means those fully executed written transactions in effect on the Effective Date of this Agreement, under which a third party is obligated or has the option to purchase and MDEA is obligated to sell Energy, Capacity and/or Ancillary Services, identified on Schedule 1 attached hereto.</w:t>
      </w:r>
    </w:p>
    <w:p>
      <w:pPr>
        <w:pStyle w:val="NormalIndent"/>
        <w:widowControl/>
        <w:ind w:hanging="0" w:end="0"/>
        <w:rPr/>
      </w:pPr>
      <w:r>
        <w:rPr/>
        <w:t>“</w:t>
      </w:r>
      <w:r>
        <w:rPr/>
        <w:t>Facilities” means [those facilities listed in Exhibit __]. “Facility” refers generically to one of the Facilities.</w:t>
      </w:r>
    </w:p>
    <w:p>
      <w:pPr>
        <w:pStyle w:val="NormalIndent"/>
        <w:widowControl/>
        <w:ind w:hanging="0" w:end="0"/>
        <w:rPr/>
      </w:pPr>
      <w:r>
        <w:rPr/>
        <w:t>“</w:t>
      </w:r>
      <w:r>
        <w:rPr/>
        <w:t>Financial Security” shall mean the types of financial security required of each of the Parties in accordance with Section 15.</w:t>
      </w:r>
    </w:p>
    <w:p>
      <w:pPr>
        <w:pStyle w:val="Heading2"/>
        <w:widowControl/>
        <w:ind w:hanging="0" w:end="0"/>
        <w:rPr/>
      </w:pPr>
      <w:r>
        <w:rPr/>
        <w:t>"Force Majeure” shall have the meaning set forth in the Protocols.  But in the absence of a definition in the Protocols, shall mean  an event not anticipated as of the Effective Date that (i) is not within the reasonable control of the Party relying thereon and (ii) could not have been prevented or avoided by such Party through the reasonable exercise of due diligence.  Subject to the foregoing, the following things would constitute Force Majeure to the extent that they affected a Party’s ability to perform under this Agreement: unavailability of fuel as a result of Force Majeure (as defined in this Agreement and applied to third parties), floods, earthquakes, storms, fires, civil disturbances or disobedience, acts of industrial disorder which are part of a national or regional strike or labor dispute, labor or material shortages, actions or restraints by court order, sabotage, actions or restraints by court order or public or governmental authority or arbitration award (so long as the claiming Party has not sought and has opposed, to the extent reasonable, such actions or restraints).</w:t>
      </w:r>
    </w:p>
    <w:p>
      <w:pPr>
        <w:pStyle w:val="Heading2"/>
        <w:widowControl/>
        <w:ind w:hanging="0" w:end="0"/>
        <w:rPr/>
      </w:pPr>
      <w:r>
        <w:rPr/>
        <w:t>“</w:t>
      </w:r>
      <w:r>
        <w:rPr/>
        <w:t xml:space="preserve">Forced Outage” means the removal from service availability of a generating unit, transmission line or other Facility for emergency reasons. </w:t>
      </w:r>
      <w:r>
        <w:rPr>
          <w:color w:val="000000"/>
          <w:szCs w:val="24"/>
        </w:rPr>
        <w:t>A Forced Outage shall be deemed to occur when an equipment failure, operator intervention or other action or inaction occurs that causes the Facilities to reduce output from the current full capacity of the Facilities either directed by operator action or is the result of a Facility control and/or safety system action.</w:t>
      </w:r>
    </w:p>
    <w:p>
      <w:pPr>
        <w:pStyle w:val="NormalIndent"/>
        <w:widowControl/>
        <w:ind w:hanging="0" w:end="0"/>
        <w:rPr/>
      </w:pPr>
      <w:r>
        <w:rPr/>
        <w:t>“</w:t>
      </w:r>
      <w:r>
        <w:rPr/>
        <w:t>MDEA” means [the owner and operator of the Facilities].</w:t>
      </w:r>
    </w:p>
    <w:p>
      <w:pPr>
        <w:pStyle w:val="NormalIndent"/>
        <w:widowControl/>
        <w:ind w:hanging="0" w:end="0"/>
        <w:rPr/>
      </w:pPr>
      <w:r>
        <w:rPr/>
        <w:t>“</w:t>
      </w:r>
      <w:r>
        <w:rPr/>
        <w:t>Fuel Costs” means the cost of all natural gas [and Fuel Oil] purchased in connection with the operation of the Facilities, together with all charges imposed for the transportation of such natural gas to the Facilities, including any reservation charge, commodity charge, transportation-related fuel, ACA charges, GRI charges, penalty charges, balancing charges or any other amount assessed by the seller or transporter of such natural gas, less any revenues received as a result of any Fuel-Related Transactions including the release of any firm capacity, the marketing of any excess quantity natural gas by EPMI for and on behalf of MDEA, which are conducted in accordance with the approved Fuel Management Plan, but excluding ET Fuel Costs.</w:t>
      </w:r>
    </w:p>
    <w:p>
      <w:pPr>
        <w:pStyle w:val="NormalIndent"/>
        <w:widowControl/>
        <w:ind w:hanging="0" w:end="0"/>
        <w:rPr/>
      </w:pPr>
      <w:r>
        <w:rPr/>
        <w:t>"Fuel Management Plan" means the strategy developed jointly by EPMI and MDEA, consistent with the Marketing Strategy, and the Trading and Risk Policy that is intended to provide the greatest likelihood, using Prudent Marketing Practices, to produce the most reliable delivery and most economic Fuel Costs for natural gas for the Facilities, [excluding hourly and daily Fuel-Related Transactions].</w:t>
      </w:r>
    </w:p>
    <w:p>
      <w:pPr>
        <w:pStyle w:val="NormalIndent"/>
        <w:widowControl/>
        <w:ind w:hanging="0" w:end="0"/>
        <w:rPr/>
      </w:pPr>
      <w:r>
        <w:rPr/>
        <w:t>“</w:t>
      </w:r>
      <w:r>
        <w:rPr/>
        <w:t>Fuel Manager” means the Fuel Manager identified in Section 11.</w:t>
      </w:r>
    </w:p>
    <w:p>
      <w:pPr>
        <w:pStyle w:val="NormalIndent"/>
        <w:widowControl/>
        <w:ind w:hanging="0" w:end="0"/>
        <w:rPr/>
      </w:pPr>
      <w:r>
        <w:rPr/>
        <w:t>“</w:t>
      </w:r>
      <w:r>
        <w:rPr/>
        <w:t>Fuel Oil” means [  ].</w:t>
      </w:r>
    </w:p>
    <w:p>
      <w:pPr>
        <w:pStyle w:val="NormalIndent"/>
        <w:widowControl/>
        <w:ind w:hanging="0" w:end="0"/>
        <w:rPr>
          <w:b/>
        </w:rPr>
      </w:pPr>
      <w:r>
        <w:rPr/>
        <w:t>“</w:t>
      </w:r>
      <w:r>
        <w:rPr/>
        <w:t xml:space="preserve">Fuel–Related Transaction” means any natural gas purchase, resale, exchange, transportation release, or reassignment, storage or balancing agreement entered into by MDEA (or by EPMI on behalf of MDEA) to supply natural gas or Fuel Oil to the Facilities for any Transaction. </w:t>
      </w:r>
    </w:p>
    <w:p>
      <w:pPr>
        <w:pStyle w:val="Heading2"/>
        <w:widowControl/>
        <w:ind w:hanging="0" w:end="0"/>
        <w:rPr/>
      </w:pPr>
      <w:r>
        <w:rPr/>
        <w:t>“</w:t>
      </w:r>
      <w:r>
        <w:rPr/>
        <w:t>GAAP” means generally accepted accounting principles recognized, from time to time, by the Financial Accounting Standards Board and applied to companies whose equity shares are traded on any regulated public equity exchange.</w:t>
      </w:r>
    </w:p>
    <w:p>
      <w:pPr>
        <w:pStyle w:val="Heading2"/>
        <w:widowControl/>
        <w:ind w:hanging="0" w:end="0"/>
        <w:rPr/>
      </w:pPr>
      <w:r>
        <w:rPr/>
        <w:t>“</w:t>
      </w:r>
      <w:r>
        <w:rPr/>
        <w:t>Interest Rate” means rate of interest applicable to any amounts due and not paid under the terms of this Agreement as set forth in Section 16.</w:t>
      </w:r>
    </w:p>
    <w:p>
      <w:pPr>
        <w:pStyle w:val="Heading2"/>
        <w:widowControl/>
        <w:ind w:hanging="0" w:end="0"/>
        <w:rPr/>
      </w:pPr>
      <w:r>
        <w:rPr/>
        <w:t>“</w:t>
      </w:r>
      <w:r>
        <w:rPr/>
        <w:t>Market Price” is the price agreed to (i) by any third party for the purchase from EPMI in a Back-to-Back Transaction, (ii) the price paid by EPMI in any EPMI Transaction or (iii) by any third party pursuant to any Structured Transaction.</w:t>
      </w:r>
    </w:p>
    <w:p>
      <w:pPr>
        <w:pStyle w:val="Heading2"/>
        <w:widowControl/>
        <w:ind w:hanging="0" w:end="0"/>
        <w:rPr/>
      </w:pPr>
      <w:r>
        <w:rPr/>
        <w:t>“</w:t>
      </w:r>
      <w:r>
        <w:rPr/>
        <w:t>Market Proceeds” is the aggregate amount of money payable (at the Market Price) under all Back-to-Back Transactions and EPMI Transactions.</w:t>
      </w:r>
    </w:p>
    <w:p>
      <w:pPr>
        <w:pStyle w:val="NormalIndent"/>
        <w:widowControl/>
        <w:tabs>
          <w:tab w:val="clear" w:pos="720"/>
          <w:tab w:val="left" w:pos="6210" w:leader="none"/>
        </w:tabs>
        <w:ind w:hanging="0" w:end="0"/>
        <w:rPr/>
      </w:pPr>
      <w:r>
        <w:rPr/>
        <w:t>“</w:t>
      </w:r>
      <w:r>
        <w:rPr/>
        <w:t>Marketing Strategy” means initially, the Marketing Strategy attached to this Agreement as Exhibit A, but following the Effective Date, the strategy developed jointly by EPMI and MDEA, consistent with the Trading and Risk Policy and the Fuel Management Plan, that is intended to maximize the profitability associated with the sale of Products from the Facilities.</w:t>
      </w:r>
    </w:p>
    <w:p>
      <w:pPr>
        <w:pStyle w:val="NormalIndent"/>
        <w:widowControl/>
        <w:tabs>
          <w:tab w:val="clear" w:pos="720"/>
          <w:tab w:val="left" w:pos="6210" w:leader="none"/>
        </w:tabs>
        <w:ind w:hanging="0" w:end="0"/>
        <w:rPr/>
      </w:pPr>
      <w:r>
        <w:rPr/>
        <w:t>“</w:t>
      </w:r>
      <w:r>
        <w:rPr/>
        <w:t>Master Power Purchase and Sale Agreement” or “MPPSA” means the Master Power Purchase &amp; Sale Agreement entered into between the Parties, contemporaneously with this Agreement, for the sale of Products to EPMI under Back-to-Back Transactions or EPMI Transactions.</w:t>
      </w:r>
    </w:p>
    <w:p>
      <w:pPr>
        <w:pStyle w:val="NormalIndent"/>
        <w:widowControl/>
        <w:ind w:hanging="0" w:end="0"/>
        <w:rPr/>
      </w:pPr>
      <w:r>
        <w:rPr/>
        <w:t>“</w:t>
      </w:r>
      <w:r>
        <w:rPr/>
        <w:t>Material Adverse Effect” means an event, or series of events the consequences of which detrimentally impact the economic value or operational elements of this Agreement to the detriment of EPMI or MDEA.</w:t>
      </w:r>
    </w:p>
    <w:p>
      <w:pPr>
        <w:pStyle w:val="NormalIndent"/>
        <w:widowControl/>
        <w:ind w:hanging="0" w:end="0"/>
        <w:rPr/>
      </w:pPr>
      <w:r>
        <w:rPr/>
        <w:t>“</w:t>
      </w:r>
      <w:r>
        <w:rPr/>
        <w:t>Minimum Product Price” means the price established each day by MDEA as the minimum price MDEA will accept for any Product tendered at the Delivery Point.</w:t>
      </w:r>
    </w:p>
    <w:p>
      <w:pPr>
        <w:pStyle w:val="NormalIndent"/>
        <w:widowControl/>
        <w:ind w:hanging="0" w:end="0"/>
        <w:rPr/>
      </w:pPr>
      <w:r>
        <w:rPr/>
        <w:t>“</w:t>
      </w:r>
      <w:r>
        <w:rPr/>
        <w:t>MWh” means megawatt hour.</w:t>
      </w:r>
    </w:p>
    <w:p>
      <w:pPr>
        <w:pStyle w:val="NormalIndent"/>
        <w:widowControl/>
        <w:ind w:hanging="0" w:end="0"/>
        <w:rPr/>
      </w:pPr>
      <w:r>
        <w:rPr/>
        <w:t>[“Native Load” means]</w:t>
      </w:r>
    </w:p>
    <w:p>
      <w:pPr>
        <w:pStyle w:val="NormalIndent"/>
        <w:widowControl/>
        <w:ind w:hanging="0" w:end="0"/>
        <w:rPr/>
      </w:pPr>
      <w:r>
        <w:rPr/>
        <w:t>“</w:t>
      </w:r>
      <w:r>
        <w:rPr/>
        <w:t xml:space="preserve">Net Proceeds” means the aggregate amount of money payable (at the Market Price) under all Back-to-Back Transactions, EPMI Transactions and Structured Transactions (regardless of whether or not such amounts are actually paid to or received by MDEA) less Costs. </w:t>
      </w:r>
    </w:p>
    <w:p>
      <w:pPr>
        <w:pStyle w:val="NormalIndent"/>
        <w:widowControl/>
        <w:ind w:hanging="0" w:end="0"/>
        <w:rPr/>
      </w:pPr>
      <w:r>
        <w:rPr/>
        <w:t>"Net Revenues" means Net Proceeds less all Fuel Costs and less all Variable O&amp;M Costs.</w:t>
      </w:r>
    </w:p>
    <w:p>
      <w:pPr>
        <w:pStyle w:val="NormalIndent"/>
        <w:widowControl/>
        <w:ind w:hanging="0" w:end="0"/>
        <w:rPr/>
      </w:pPr>
      <w:r>
        <w:rPr/>
        <w:t>“</w:t>
      </w:r>
      <w:r>
        <w:rPr/>
        <w:t>On-Peak” means each hour commencing at HE 0700 and ending HE 2200 CPT, Monday through Friday excluding NERC holidays.</w:t>
      </w:r>
    </w:p>
    <w:p>
      <w:pPr>
        <w:pStyle w:val="NormalIndent"/>
        <w:widowControl/>
        <w:ind w:hanging="0" w:end="0"/>
        <w:rPr/>
      </w:pPr>
      <w:r>
        <w:rPr/>
        <w:t>“</w:t>
      </w:r>
      <w:r>
        <w:rPr/>
        <w:t>Payment Date” means the date each month when payment of the Market Proceeds is due from EPMI to MDEA.</w:t>
      </w:r>
    </w:p>
    <w:p>
      <w:pPr>
        <w:pStyle w:val="Heading2"/>
        <w:widowControl/>
        <w:ind w:hanging="0" w:end="0"/>
        <w:rPr/>
      </w:pPr>
      <w:r>
        <w:rPr/>
        <w:t>“</w:t>
      </w:r>
      <w:r>
        <w:rPr/>
        <w:t>Performing Party” means that Party who under this Agreement has the right to claim that the Defaulting Party has engaged in an Event of Default under Section 17 of this Agreement.</w:t>
      </w:r>
    </w:p>
    <w:p>
      <w:pPr>
        <w:pStyle w:val="Heading2"/>
        <w:widowControl/>
        <w:ind w:hanging="0" w:end="0"/>
        <w:rPr/>
      </w:pPr>
      <w:r>
        <w:rPr/>
        <w:t xml:space="preserve">[“Planned Outage” </w:t>
      </w:r>
      <w:r>
        <w:rPr>
          <w:color w:val="000000"/>
          <w:szCs w:val="24"/>
        </w:rPr>
        <w:t>A Planned Outage shall be deemed to occur when a Facility operates at reduced output or is removed from service by the Facility operator in a controlled manner so as to allow maintenance of equipment, systems or the entire Facility where the event was part of the annual maintenance planning.]</w:t>
      </w:r>
    </w:p>
    <w:p>
      <w:pPr>
        <w:pStyle w:val="Heading2"/>
        <w:widowControl/>
        <w:ind w:hanging="0" w:end="0"/>
        <w:rPr/>
      </w:pPr>
      <w:r>
        <w:rPr/>
        <w:t>“</w:t>
      </w:r>
      <w:r>
        <w:rPr/>
        <w:t>Products” means quantities of products or services (including Energy, Capacity and Ancillary Services) that may from time to time be sold under Back-to-Back Transactions, EPMI Transactions, or Structured Transactions. “Protocols” shall have the meaning set forth in Appendix A, attached hereto.</w:t>
      </w:r>
    </w:p>
    <w:p>
      <w:pPr>
        <w:pStyle w:val="Heading2"/>
        <w:widowControl/>
        <w:ind w:hanging="0" w:end="0"/>
        <w:rPr/>
      </w:pPr>
      <w:r>
        <w:rPr/>
        <w:t xml:space="preserve">[“Profit”] </w:t>
      </w:r>
    </w:p>
    <w:p>
      <w:pPr>
        <w:pStyle w:val="Heading2"/>
        <w:widowControl/>
        <w:ind w:hanging="0" w:end="0"/>
        <w:rPr/>
      </w:pPr>
      <w:r>
        <w:rPr/>
        <w:t>[“Protocols”]</w:t>
      </w:r>
    </w:p>
    <w:p>
      <w:pPr>
        <w:pStyle w:val="NormalIndent"/>
        <w:widowControl/>
        <w:ind w:hanging="0" w:end="0"/>
        <w:rPr/>
      </w:pPr>
      <w:r>
        <w:rPr/>
        <w:t>“</w:t>
      </w:r>
      <w:r>
        <w:rPr/>
        <w:t xml:space="preserve">Prudent Marketing Practices” shall mean, at a particular time, any of the practices and procedures, not in conflict with the Marketing Strategy and Trading and Risk Policy, practiced generally in the power marketing industry by experienced participants in similar circumstances.  Prudent Marketing Practices is not intended to be limited to the optimum practice, method, or act to the exclusion of all others, but rather to be a spectrum of possible practices, methods or acts expected to accomplish the desired results, having due regard for, among other things, the requirements of each governmental authority of competent jurisdiction, and the requirements of this Agreement. </w:t>
      </w:r>
    </w:p>
    <w:p>
      <w:pPr>
        <w:pStyle w:val="NormalIndent"/>
        <w:widowControl/>
        <w:ind w:hanging="0" w:end="0"/>
        <w:rPr/>
      </w:pPr>
      <w:r>
        <w:rPr/>
        <w:t xml:space="preserve">"Prudent Operating Practices" </w:t>
      </w:r>
      <w:r>
        <w:rPr>
          <w:color w:val="000000"/>
        </w:rPr>
        <w:t>shall mean those practices, methods, techniques and acts which, at the time of performance of MDEA’s obligations under this Agreement, are generally accepted and would be applied in the U.S. electric power industry and would be expected to accomplish the desired results economically, reliably, safely and expeditiously.</w:t>
      </w:r>
    </w:p>
    <w:p>
      <w:pPr>
        <w:pStyle w:val="NormalIndent"/>
        <w:widowControl/>
        <w:ind w:hanging="0" w:end="0"/>
        <w:rPr/>
      </w:pPr>
      <w:r>
        <w:rPr/>
        <w:t>“</w:t>
      </w:r>
      <w:r>
        <w:rPr/>
        <w:t>QSE” or “Qualified Scheduling Entity” means an entity recognized by [SERC/SPP?], and fully qualified under SERC rules and regulations, to schedule the transmission of Energy, Capacity and Ancillary Services from the Facilities.</w:t>
      </w:r>
    </w:p>
    <w:p>
      <w:pPr>
        <w:pStyle w:val="NormalIndent"/>
        <w:widowControl/>
        <w:ind w:hanging="0" w:end="0"/>
        <w:rPr/>
      </w:pPr>
      <w:r>
        <w:rPr/>
        <w:t>“</w:t>
      </w:r>
      <w:r>
        <w:rPr/>
        <w:t>QSE Services” or “Services” means the services to be provided by EPMI in its role as a Qualified Scheduling Entity on behalf of MDEA, pursuant to the terms of this Agreement.</w:t>
      </w:r>
    </w:p>
    <w:p>
      <w:pPr>
        <w:pStyle w:val="NormalIndent"/>
        <w:widowControl/>
        <w:ind w:hanging="0" w:end="0"/>
        <w:rPr/>
      </w:pPr>
      <w:r>
        <w:rPr/>
        <w:t>“</w:t>
      </w:r>
      <w:r>
        <w:rPr/>
        <w:t>Risk Management Committee” means the committee comprised of representatives of EPMI and MDEA established pursuant to Section 12 of this Agreement which is charged with the obligation of establishing and monitoring the Trading and Risk Policy, Marketing Strategy,  Fuel Management Plan.</w:t>
      </w:r>
    </w:p>
    <w:p>
      <w:pPr>
        <w:pStyle w:val="NormalIndent"/>
        <w:widowControl/>
        <w:ind w:hanging="0" w:end="0"/>
        <w:rPr/>
      </w:pPr>
      <w:r>
        <w:rPr/>
        <w:t>“</w:t>
      </w:r>
      <w:r>
        <w:rPr/>
        <w:t>Scheduled Outage” means any period, or extension of an initial period of time during which Products are not provided at the Facilities as a result of any operating condition of the Facilities known to MDEA and communicated to EPMI in advance during which any maintenance, repair or other activity is required to permit the Facilities to be operated in accordance with its design or operational characteristics.</w:t>
      </w:r>
    </w:p>
    <w:p>
      <w:pPr>
        <w:pStyle w:val="NormalIndent"/>
        <w:widowControl/>
        <w:ind w:hanging="0" w:end="0"/>
        <w:rPr/>
      </w:pPr>
      <w:r>
        <w:rPr/>
        <w:t>“</w:t>
      </w:r>
      <w:r>
        <w:rPr/>
        <w:t>Scheduling Services” [means]</w:t>
      </w:r>
    </w:p>
    <w:p>
      <w:pPr>
        <w:pStyle w:val="NormalIndent"/>
        <w:widowControl/>
        <w:ind w:hanging="0" w:end="0"/>
        <w:rPr/>
      </w:pPr>
      <w:r>
        <w:rPr/>
        <w:t>“</w:t>
      </w:r>
      <w:r>
        <w:rPr/>
        <w:t>SEPA” means Southeastern Power Authority.</w:t>
      </w:r>
    </w:p>
    <w:p>
      <w:pPr>
        <w:pStyle w:val="NormalIndent"/>
        <w:widowControl/>
        <w:ind w:hanging="0" w:end="0"/>
        <w:rPr/>
      </w:pPr>
      <w:r>
        <w:rPr/>
        <w:t>“</w:t>
      </w:r>
      <w:r>
        <w:rPr/>
        <w:t>SPP” means the Southwest Power Pool of the North American Electric Council.</w:t>
      </w:r>
    </w:p>
    <w:p>
      <w:pPr>
        <w:pStyle w:val="NormalIndent"/>
        <w:widowControl/>
        <w:ind w:hanging="0" w:end="0"/>
        <w:rPr/>
      </w:pPr>
      <w:r>
        <w:rPr/>
        <w:t>"Structured Transaction" means any Transaction other than a Back-to-Back Transaction or an EPMI Transaction.</w:t>
      </w:r>
    </w:p>
    <w:p>
      <w:pPr>
        <w:pStyle w:val="NormalIndent"/>
        <w:widowControl/>
        <w:ind w:hanging="0" w:end="0"/>
        <w:rPr/>
      </w:pPr>
      <w:r>
        <w:rPr/>
        <w:t>“</w:t>
      </w:r>
      <w:r>
        <w:rPr/>
        <w:t>Term” means the Initial Term, the Extension Term (if any) along with any Renewal Terms.</w:t>
      </w:r>
    </w:p>
    <w:p>
      <w:pPr>
        <w:pStyle w:val="NormalIndent"/>
        <w:widowControl/>
        <w:ind w:hanging="0" w:end="0"/>
        <w:rPr/>
      </w:pPr>
      <w:r>
        <w:rPr/>
        <w:t>“</w:t>
      </w:r>
      <w:r>
        <w:rPr/>
        <w:t>Trading and Risk Policy” means, initially, the Trading and Risk Policy attached to this Agreement as Exhibit B, but following the Effective Date, shall mean the Trading and Risk Policy established by the Risk Management Committee and changed, modified or amended from time to time in accordance with Section 12 of this Agreement.</w:t>
      </w:r>
    </w:p>
    <w:p>
      <w:pPr>
        <w:pStyle w:val="NormalIndent"/>
        <w:widowControl/>
        <w:ind w:hanging="0" w:end="0"/>
        <w:rPr/>
      </w:pPr>
      <w:r>
        <w:rPr/>
        <w:t>“</w:t>
      </w:r>
      <w:r>
        <w:rPr/>
        <w:t>Transaction” means any arrangement with any party, including EPMI, for the sale of any Product.</w:t>
      </w:r>
    </w:p>
    <w:p>
      <w:pPr>
        <w:pStyle w:val="NormalIndent"/>
        <w:widowControl/>
        <w:ind w:hanging="0" w:end="0"/>
        <w:rPr/>
      </w:pPr>
      <w:r>
        <w:rPr/>
        <w:t>“</w:t>
      </w:r>
      <w:r>
        <w:rPr/>
        <w:t xml:space="preserve">Variable O&amp;M” shall be $2.75/MWh in calendar year 2001 and adjusted annually at the annual percentage difference in the U.S. Consumer Price Index for All Urban Consumers - All Items, Not Seasonally Adjusted, (CPI-U) U.S. City Average, Base Period: 1982-84 = 100.  The base year value shall be the number for December 1999 of 168.3, as reported by the Bureau of Labor Statistics of the U.S. Department of Labor in the December 2000 Monthly Labor Review.  The annual adjustment of each year’s Variable O&amp;M costs shall be calculated using the prior year’s December index value. </w:t>
      </w:r>
    </w:p>
    <w:p>
      <w:pPr>
        <w:pStyle w:val="NormalIndent"/>
        <w:widowControl/>
        <w:ind w:hanging="0" w:end="0"/>
        <w:rPr/>
      </w:pPr>
      <w:r>
        <w:rPr/>
        <w:t>“</w:t>
      </w:r>
      <w:r>
        <w:rPr/>
        <w:t>Variable O&amp;M Costs” shall mean (Variable O&amp;M) x (number of MWh’s of generated by the Facilities – number of MWh’s sold under Existing Transactions)</w:t>
      </w:r>
    </w:p>
    <w:p>
      <w:pPr>
        <w:pStyle w:val="Heading1"/>
        <w:keepNext w:val="true"/>
        <w:keepLines/>
        <w:widowControl/>
        <w:tabs>
          <w:tab w:val="clear" w:pos="360"/>
        </w:tabs>
        <w:ind w:hanging="0" w:start="0"/>
        <w:rPr>
          <w:b/>
        </w:rPr>
      </w:pPr>
      <w:r>
        <w:rPr>
          <w:b/>
        </w:rPr>
        <w:t>2.</w:t>
        <w:tab/>
        <w:t>TERM OF AGREEMENT</w:t>
      </w:r>
    </w:p>
    <w:p>
      <w:pPr>
        <w:pStyle w:val="Heading2"/>
        <w:widowControl/>
        <w:ind w:firstLine="720" w:end="0"/>
        <w:rPr/>
      </w:pPr>
      <w:r>
        <w:rPr/>
        <w:t>(a)</w:t>
        <w:tab/>
        <w:t>This Agreement shall become effective beginning at hour ending (HE) 0100 (CPT), on the Effective Date, and shall continue in effect until HE 2400 (CPT), December 31, 2002 (Initial Term), unless earlier terminated in accordance with the provisions of Section 18, Termination.</w:t>
      </w:r>
    </w:p>
    <w:p>
      <w:pPr>
        <w:pStyle w:val="Heading2"/>
        <w:widowControl/>
        <w:ind w:firstLine="720" w:end="0"/>
        <w:rPr/>
      </w:pPr>
      <w:r>
        <w:rPr/>
        <w:t>(b)</w:t>
        <w:tab/>
        <w:t>This Agreement may be automatically extended for an additional one (1) year period (Extension Term) at the end of the Initial Term, at the option of MDEA, upon the same terms and conditions by written notice to EPMI not less than ninety (90) days prior to the expiration of the Initial Term.  Thereafter, this Agreement shall continue from year to year on the same terms and conditions (Renewal Term) unless terminated by either Party upon not less than sixty (60) days written notice prior to the expiration of the Initial Term (unless MDEA elects to extend under the Extension Term) Extension Term or any Renewal Term (as the case may be).</w:t>
      </w:r>
    </w:p>
    <w:p>
      <w:pPr>
        <w:pStyle w:val="Heading1"/>
        <w:widowControl/>
        <w:tabs>
          <w:tab w:val="clear" w:pos="360"/>
        </w:tabs>
        <w:ind w:hanging="0" w:start="0"/>
        <w:rPr>
          <w:b/>
        </w:rPr>
      </w:pPr>
      <w:r>
        <w:rPr>
          <w:b/>
        </w:rPr>
        <w:t>3.</w:t>
        <w:tab/>
        <w:t>OBLIGATIONS OF THE PARTIES</w:t>
      </w:r>
    </w:p>
    <w:p>
      <w:pPr>
        <w:pStyle w:val="Heading2"/>
        <w:widowControl/>
        <w:tabs>
          <w:tab w:val="clear" w:pos="1800"/>
        </w:tabs>
        <w:ind w:firstLine="720" w:end="0"/>
        <w:rPr/>
      </w:pPr>
      <w:r>
        <w:rPr/>
        <w:t>(a)</w:t>
        <w:tab/>
        <w:t>EPMI (or any of its affiliates fulfilling a portion of EPMI’s obligations under this Agreement), shall perform the following:</w:t>
      </w:r>
    </w:p>
    <w:p>
      <w:pPr>
        <w:pStyle w:val="Heading2"/>
        <w:widowControl/>
        <w:tabs>
          <w:tab w:val="clear" w:pos="1800"/>
        </w:tabs>
        <w:ind w:firstLine="720" w:start="720" w:end="0"/>
        <w:rPr/>
      </w:pPr>
      <w:r>
        <w:rPr/>
        <w:t>(1)</w:t>
        <w:tab/>
        <w:t xml:space="preserve">In accordance with this Agreement, the Marketing Strategy and the Trading and Risk Policy, EPMI shall use commercially reasonable efforts to (i) provide Scheduling Services (ii) if determined to be feasible by the Parties, seek to establish an MDEA control area (iii) when and if recognized by SPP and SERC RTO’s, seek  to become [or assist MDEA in becoming] authorized to provide QSE Services and, following receipt of such authorization, provide QSE Services to MDEA in accordance with [exhibit] (iv) act on behalf of MDEA for the acquisition of all natural gas required as fuel for the Facilities, and to schedule, nominate and confirm all Fuel-Related Transactions in accordance with the Fuel Management Plan, and (v) assist MDEA in originating, negotiating and concluding Structured Transactions.   </w:t>
      </w:r>
    </w:p>
    <w:p>
      <w:pPr>
        <w:pStyle w:val="Heading2"/>
        <w:widowControl/>
        <w:tabs>
          <w:tab w:val="clear" w:pos="1800"/>
        </w:tabs>
        <w:rPr/>
      </w:pPr>
      <w:r>
        <w:rPr/>
        <w:t>(2)</w:t>
        <w:tab/>
        <w:t>Maintain the Financial Security required under this Agreement.</w:t>
      </w:r>
    </w:p>
    <w:p>
      <w:pPr>
        <w:pStyle w:val="Heading2"/>
        <w:widowControl/>
        <w:tabs>
          <w:tab w:val="clear" w:pos="1800"/>
        </w:tabs>
        <w:ind w:firstLine="720" w:start="720" w:end="0"/>
        <w:rPr/>
      </w:pPr>
      <w:r>
        <w:rPr/>
        <w:t>(3)</w:t>
        <w:tab/>
        <w:t xml:space="preserve">Designate a responsible person to act as Energy Coordinator for EPMI under this Agreement. </w:t>
      </w:r>
    </w:p>
    <w:p>
      <w:pPr>
        <w:pStyle w:val="Heading2"/>
        <w:widowControl/>
        <w:tabs>
          <w:tab w:val="clear" w:pos="1800"/>
        </w:tabs>
        <w:ind w:firstLine="720" w:start="720" w:end="0"/>
        <w:rPr>
          <w:u w:val="single"/>
        </w:rPr>
      </w:pPr>
      <w:r>
        <w:rPr/>
        <w:t>(4)</w:t>
        <w:tab/>
        <w:t>Market the Products in compliance with, and subject to, the rules and guidelines of the North American Electric Reliability Council (or any successor organization) (NERC) and SERC.  In the event of conflict between the terms of the Agreement and the requirements of NERC and/or SERC, the provisions of this Agreement shall be subordinate.  The Party discovering such conflict shall notify the other Party in writing and the Parties shall promptly (upon notice of discovery of such conflict) negotiate in good faith to modify the terms of the Agreement in a manner that preserves for the Parties as nearly as possible the full economic value of this Agreement..  If the Parties are unable to reach an agreement within ten (10) days of such notice being given, either Party may invoke the dispute resolution procedures in Section 21.</w:t>
      </w:r>
    </w:p>
    <w:p>
      <w:pPr>
        <w:pStyle w:val="Heading2"/>
        <w:widowControl/>
        <w:numPr>
          <w:ilvl w:val="0"/>
          <w:numId w:val="4"/>
        </w:numPr>
        <w:tabs>
          <w:tab w:val="clear" w:pos="1800"/>
        </w:tabs>
        <w:rPr/>
      </w:pPr>
      <w:r>
        <w:rPr/>
        <w:t>Perform such other duties and obligations as set forth in this Agreement.</w:t>
      </w:r>
    </w:p>
    <w:p>
      <w:pPr>
        <w:pStyle w:val="Heading2"/>
        <w:widowControl/>
        <w:numPr>
          <w:ilvl w:val="0"/>
          <w:numId w:val="4"/>
        </w:numPr>
        <w:tabs>
          <w:tab w:val="clear" w:pos="1800"/>
        </w:tabs>
        <w:rPr/>
      </w:pPr>
      <w:r>
        <w:rPr/>
        <w:t>Market the Products to third parties using Prudent Marketing Practices to assist MDEA in optimizing the value of the Facilities by seeking to maximize Net Revenues.</w:t>
      </w:r>
    </w:p>
    <w:p>
      <w:pPr>
        <w:pStyle w:val="Heading2"/>
        <w:widowControl/>
        <w:tabs>
          <w:tab w:val="clear" w:pos="1800"/>
        </w:tabs>
        <w:ind w:firstLine="720" w:end="0"/>
        <w:rPr/>
      </w:pPr>
      <w:r>
        <w:rPr>
          <w:b/>
        </w:rPr>
        <w:t xml:space="preserve"> </w:t>
      </w:r>
      <w:r>
        <w:rPr/>
        <w:t>(b)</w:t>
        <w:tab/>
        <w:t>MDEA shall perform the following:</w:t>
      </w:r>
    </w:p>
    <w:p>
      <w:pPr>
        <w:pStyle w:val="Heading2"/>
        <w:widowControl/>
        <w:tabs>
          <w:tab w:val="clear" w:pos="1800"/>
        </w:tabs>
        <w:ind w:firstLine="720" w:start="720" w:end="0"/>
        <w:rPr/>
      </w:pPr>
      <w:r>
        <w:rPr/>
        <w:t>(1)</w:t>
        <w:tab/>
        <w:t>Operate and maintain the Facilities, in accordance with Prudent Operating Practices to make Products available under this Agreement at the Delivery Point or Points.</w:t>
      </w:r>
    </w:p>
    <w:p>
      <w:pPr>
        <w:pStyle w:val="Heading2"/>
        <w:widowControl/>
        <w:tabs>
          <w:tab w:val="clear" w:pos="1800"/>
        </w:tabs>
        <w:ind w:firstLine="720" w:start="720" w:end="0"/>
        <w:rPr/>
      </w:pPr>
      <w:r>
        <w:rPr/>
        <w:t>(2)</w:t>
        <w:tab/>
        <w:t>Provide EPMI with reasonably sufficient and adequate notice concerning the Scheduled Outages, Maintenance Outages or Forced Outages (and attempt to minimize the frequency and duration thereof) and such other operating conditions and activities necessary to permit EPMI to carry out its obligations under this Agreement.</w:t>
      </w:r>
    </w:p>
    <w:p>
      <w:pPr>
        <w:pStyle w:val="Heading2"/>
        <w:widowControl/>
        <w:tabs>
          <w:tab w:val="clear" w:pos="1800"/>
        </w:tabs>
        <w:ind w:firstLine="720" w:start="720" w:end="0"/>
        <w:rPr/>
      </w:pPr>
      <w:r>
        <w:rPr/>
        <w:t>(3)</w:t>
        <w:tab/>
        <w:t>Maintain the Financial Security required under this Agreement.</w:t>
      </w:r>
    </w:p>
    <w:p>
      <w:pPr>
        <w:pStyle w:val="Heading2"/>
        <w:widowControl/>
        <w:tabs>
          <w:tab w:val="clear" w:pos="1800"/>
        </w:tabs>
        <w:ind w:firstLine="720" w:start="720" w:end="0"/>
        <w:rPr/>
      </w:pPr>
      <w:r>
        <w:rPr/>
        <w:t>(4)</w:t>
        <w:tab/>
        <w:t>Designate a responsible person to act as Energy Coordinator for MDEA under this Agreement</w:t>
      </w:r>
    </w:p>
    <w:p>
      <w:pPr>
        <w:pStyle w:val="Heading2"/>
        <w:widowControl/>
        <w:tabs>
          <w:tab w:val="clear" w:pos="1800"/>
        </w:tabs>
        <w:ind w:firstLine="720" w:start="720" w:end="0"/>
        <w:rPr/>
      </w:pPr>
      <w:r>
        <w:rPr/>
        <w:t>(5)</w:t>
        <w:tab/>
        <w:t>Sell to EPMI Products under the MPPSA in Back-to-Back Transactions that correspond to the Products sold by EPMI to third parties.</w:t>
      </w:r>
    </w:p>
    <w:p>
      <w:pPr>
        <w:pStyle w:val="Heading2"/>
        <w:widowControl/>
        <w:tabs>
          <w:tab w:val="clear" w:pos="1800"/>
        </w:tabs>
        <w:ind w:firstLine="720" w:start="720" w:end="0"/>
        <w:rPr/>
      </w:pPr>
      <w:r>
        <w:rPr/>
        <w:t>(6)</w:t>
        <w:tab/>
        <w:t>Perform such other duties and obligations as are set forth in this Agreement.</w:t>
      </w:r>
    </w:p>
    <w:p>
      <w:pPr>
        <w:pStyle w:val="Heading2"/>
        <w:widowControl/>
        <w:tabs>
          <w:tab w:val="clear" w:pos="1800"/>
        </w:tabs>
        <w:ind w:firstLine="720" w:end="0"/>
        <w:rPr/>
      </w:pPr>
      <w:r>
        <w:rPr/>
        <w:t>(c)</w:t>
        <w:tab/>
        <w:t xml:space="preserve">It is expressly understood and agreed between the Parties that this Agreement is entered into for the purpose of engaging EPMI to market Products to third parties.  The Parties agree that MDEA shall sell Products to EPMI under Back-to-Back Transactions to fulfill Transactions with third parties that EPMI has entered into as a result of its marketing activities on behalf of MDEA, or under EPMI Transactions.  The actual sale of such Products by MDEA to EPMI shall be made under and generally governed by the MPPSA entered into between the Parties.  It is currently anticipated by the Parties that the MPPSA will only be used for (i) Back-to-Back Transactions as permitted under the Trading and Risk Policy or (ii) EPMI Transactions.  Any Structured Transaction for the sale of Products shall be evidenced by and governed by a specific, separate agreement to be entered into directly by MDEA.  </w:t>
      </w:r>
    </w:p>
    <w:p>
      <w:pPr>
        <w:pStyle w:val="Heading2"/>
        <w:keepNext w:val="true"/>
        <w:keepLines/>
        <w:widowControl/>
        <w:numPr>
          <w:ilvl w:val="0"/>
          <w:numId w:val="7"/>
        </w:numPr>
        <w:tabs>
          <w:tab w:val="clear" w:pos="1800"/>
        </w:tabs>
        <w:rPr>
          <w:b/>
        </w:rPr>
      </w:pPr>
      <w:r>
        <w:rPr>
          <w:b/>
        </w:rPr>
        <w:t>DELIVERY OF AVAILABLE ENERGY, CAPACITY AND ANCILLARY SERVICES</w:t>
      </w:r>
    </w:p>
    <w:p>
      <w:pPr>
        <w:pStyle w:val="Normal"/>
        <w:rPr/>
      </w:pPr>
      <w:r>
        <w:rPr/>
        <w:t>Commencing on the Effective Date, MDEA agrees (provided EPMI provides Financial Security required under Section 17 that MDEA in its reasonable discretion believes is necessary in order to eliminate any concerns it may have about credit exposure to EPMI) to make Products available to EPMI, and EPMI agrees to market Products from the Facilities using Prudent Marketing Practices to be sold by EPMI in Back-to-Back Transactions at not less than the Minimum Product Price.  Unless specifically agreed otherwise, MDEA shall have no obligation to tender Products to EPMI and EPMI shall have no obligation to purchase products from MDEA unless and until EPMI has secured a corresponding Back-to-Back Transaction with a third party, or the Parties agree to an EPMI Transaction.  If EPMI is able to secure a Back-to-Back Transaction with a third party, then MDEA shall sell the Product (for delivery to the same Delivery Point agreed to in the Back-to-Back Transaction with the third party) to EPMI under the MPPSA at the Minimum Product Price (and execute a Confirmation evidencing such obligation) and EPMI shall correspondingly sell the Product to the third party at the Market Price.  In an EPMI Transaction, MDEA shall sell the Product to EPMI under the MPPSA at the agreed to Market Price. Notwithstanding anything contained in this Agreement to the contrary, (1) EPMI shall not be under any obligation to enter into any Back-to-Back Transaction if: (i) the term thereof might extend beyond the Term of this Agreement, (ii) it is not allowable under EPMI</w:t>
      </w:r>
      <w:r>
        <w:rPr>
          <w:rFonts w:cs="CG Times;Times New Roman" w:ascii="CG Times;Times New Roman" w:hAnsi="CG Times;Times New Roman"/>
        </w:rPr>
        <w:t>’</w:t>
      </w:r>
      <w:r>
        <w:rPr/>
        <w:t>s generally applicable credit policies used in credit-risk management for and on behalf of EPMI; (iii) EPMI is unable to agree to terms of the Back-to-Back Transaction in EPMI’s sole discretion, or (iv) if MDEA fails to provide Financial Security required under Section 17 that EPMI in its reasonable discretion believes is necessary in order to eliminate any concerns that it may have about its credit exposure to MDEA and (2) With regard to EPMI Transactions: (i) EPMI shall not be under any obligation to purchase any Products under an EPMI Transaction, (ii) EPMI Transactions must be approved in advance by MDEA and (iii) MDEA shall be entitled to receive only the Market Price in the EPMI Transaction Confirmation and shall not be entitled to share in any profits that may result from  (nor have any risk or liability in connection with) the resale of Products purchased by EPMI under EPMI Transactions.</w:t>
      </w:r>
      <w:r>
        <w:rPr>
          <w:vanish/>
        </w:rPr>
        <w:t xml:space="preserve"> </w:t>
      </w:r>
      <w:r>
        <w:rPr/>
        <w:t xml:space="preserve">  It is expressly understood, notwithstanding any other provision of this Agreement to the contrary, and agreed by the Parties that MDEA reserves the right to sell any Available Energy, Capacity and Ancillary Services to any third party in any Structured Transaction, provided that such sale is consummated on an “arms-length” basis and included in the determination of the incentive fee payable to EPMI under Section 16. </w:t>
      </w:r>
    </w:p>
    <w:p>
      <w:pPr>
        <w:pStyle w:val="Heading2"/>
        <w:widowControl/>
        <w:tabs>
          <w:tab w:val="clear" w:pos="1800"/>
        </w:tabs>
        <w:ind w:hanging="0" w:start="-90" w:end="0"/>
        <w:rPr/>
      </w:pPr>
      <w:r>
        <w:rPr>
          <w:b/>
        </w:rPr>
        <w:t>5.</w:t>
      </w:r>
      <w:r>
        <w:rPr/>
        <w:tab/>
      </w:r>
      <w:r>
        <w:rPr>
          <w:b/>
        </w:rPr>
        <w:t>PLANT OPERATION, SCHEDULING AND COORDINATION</w:t>
      </w:r>
    </w:p>
    <w:p>
      <w:pPr>
        <w:pStyle w:val="Heading2"/>
        <w:widowControl/>
        <w:tabs>
          <w:tab w:val="clear" w:pos="1800"/>
        </w:tabs>
        <w:ind w:firstLine="810" w:start="-90" w:end="0"/>
        <w:rPr/>
      </w:pPr>
      <w:r>
        <w:rPr/>
        <w:t>(a)</w:t>
        <w:tab/>
        <w:t xml:space="preserve">Each Party shall designate a responsible person to act as Energy Coordinator.  EPMI may replace its designated Energy Coordinator but only with the consent of MDEA (not to be unreasonably withheld, conditioned or delayed).  In the event such change is not reasonably acceptable to MDEA, MDEA shall provide written notice thereof to EPMI (which contains in reasonable particularity, the reason for MDEA’s disapproval) and EPMI shall be afforded a reasonable period of time in which to suggest someone else. </w:t>
      </w:r>
    </w:p>
    <w:p>
      <w:pPr>
        <w:pStyle w:val="Heading2"/>
        <w:widowControl/>
        <w:tabs>
          <w:tab w:val="clear" w:pos="1800"/>
        </w:tabs>
        <w:ind w:firstLine="810" w:start="-90" w:end="0"/>
        <w:rPr/>
      </w:pPr>
      <w:r>
        <w:rPr/>
        <w:t>(b)</w:t>
        <w:tab/>
        <w:t>Each day, MDEA’s Energy Coordinator shall, as soon as possible but no later than 6:45 a.m. CPT notify EPMI of the estimated schedule of Available Energy, Ancillary Services and Capacity and the Minimum Product Price for each of the Products available at the Delivery Point for sale beginning at HE 0100 (CPT) the next day or days set forth in such schedule.  Further, MDEA’s Energy Coordinator shall, as necessary throughout the day, provide all reasonably necessary relevant information to EPMI’s Energy Coordinator regarding any operational circumstances that could or may affect the delivery of Products.</w:t>
      </w:r>
    </w:p>
    <w:p>
      <w:pPr>
        <w:pStyle w:val="Heading2"/>
        <w:widowControl/>
        <w:tabs>
          <w:tab w:val="clear" w:pos="1800"/>
        </w:tabs>
        <w:ind w:firstLine="810" w:start="-90" w:end="0"/>
        <w:rPr/>
      </w:pPr>
      <w:r>
        <w:rPr/>
        <w:t>(c)</w:t>
        <w:tab/>
        <w:t>EPMI shall, consistent with the requirements of all Transactions and the Fuel Management Plan and the physical capabilities of the Facilities, schedule, nominate and confirm all Fuel-Related Transactions.</w:t>
      </w:r>
    </w:p>
    <w:p>
      <w:pPr>
        <w:pStyle w:val="Heading2"/>
        <w:widowControl/>
        <w:tabs>
          <w:tab w:val="clear" w:pos="1800"/>
        </w:tabs>
        <w:ind w:firstLine="720" w:end="0"/>
        <w:rPr/>
      </w:pPr>
      <w:r>
        <w:rPr/>
        <w:t>(d)</w:t>
        <w:tab/>
        <w:t>Throughout the Term of this Agreement, the Energy Coordinators shall meet or otherwise communicate as frequently as the Parties deem reasonably necessary and desirable to assure the coordination of the performance of the Facilities with the marketing and sale of Products.</w:t>
      </w:r>
    </w:p>
    <w:p>
      <w:pPr>
        <w:pStyle w:val="Heading2"/>
        <w:widowControl/>
        <w:tabs>
          <w:tab w:val="clear" w:pos="1800"/>
        </w:tabs>
        <w:ind w:firstLine="720" w:end="0"/>
        <w:rPr/>
      </w:pPr>
      <w:r>
        <w:rPr/>
        <w:t>(e)</w:t>
        <w:tab/>
        <w:t xml:space="preserve">The dispatching of the Facilities shall be consistent with the Communication Procedures, the characteristics and limitations of the Facilities, Prudent Operating Practices, the Outage Schedule of the Facilities (when communicated by MDEA), legal, regulatory and transmission service provider requirements, the Protocols, the Marketing Strategy, Trading and Risk Policy, and Fuel Management Plan.  </w:t>
      </w:r>
    </w:p>
    <w:p>
      <w:pPr>
        <w:pStyle w:val="Heading2"/>
        <w:widowControl/>
        <w:tabs>
          <w:tab w:val="clear" w:pos="1800"/>
          <w:tab w:val="left" w:pos="1440" w:leader="none"/>
        </w:tabs>
        <w:ind w:firstLine="720" w:end="0"/>
        <w:rPr/>
      </w:pPr>
      <w:r>
        <w:rPr/>
        <w:t>(f)</w:t>
        <w:tab/>
        <w:t xml:space="preserve">Following the Effective Date, to ensure timely response to dispatch instructions and provide for timely exchange of information necessary for bidding, scheduling and dispatch of Products from the Facilities the Parties shall adopt Communication Procedures to comply with the Protocols.  It is anticipated that dispatch notice/signals shall be delivered by SERC to EPMI (as the QSE) and shall be relayed by EPMI to MDEA. EPMI and MDEA shall, to the extent necessary, install any and all electronic, telephonic or other communication equipment necessary to receive such dispatch notices or signals and to coordinate between themselves and SERC on any dispatch or transmission requirements.  EPMI shall install, own, and maintain (at EPMI expense) the appropriate communication facilities.  The monthly communication expense for data transmission between EPMI and MDEA shall be a Cost under this Agreement. The Communication Procedures shall include procedures for the communication of information regarding the Marketing Strategy, compliance with and monitoring circumstances surrounding any First Contingency Emergency Dispatch, Scheduled Outages, Forced Outages, pricing and other information to assure marketing of the Facilities Products.  Pursuant to such Communication Procedures, MDEA shall provide EPMI (on a regular basis but not less frequently than once each month) with (i) its projection each month of the total Available Energy, Capacity and Ancillary Services from the Facilities for the next month and (ii) Scheduled Outages on a current and projected basis and the anticipated duration of any resulting interruptions (Outage Schedule).  MDEA shall provide EPMI notice of any changes in such information, projections or costs as soon as possible.  It is the objective of both Parties hereto that the Communication Procedures provide EPMI with a set of approved trading activities that are very narrowly defined within well defined boundaries and that MDEA play an active role in approving all Transactions (to the extent reasonably possible).  </w:t>
      </w:r>
    </w:p>
    <w:p>
      <w:pPr>
        <w:pStyle w:val="Heading2"/>
        <w:widowControl/>
        <w:tabs>
          <w:tab w:val="clear" w:pos="1800"/>
        </w:tabs>
        <w:ind w:firstLine="720" w:end="0"/>
        <w:rPr/>
      </w:pPr>
      <w:r>
        <w:rPr/>
        <w:t>(g)</w:t>
        <w:tab/>
        <w:t>MDEA shall be responsible for compliance with the First Contingency Emergency Dispatch provisions of the Protocols and its interconnection agreements.</w:t>
      </w:r>
    </w:p>
    <w:p>
      <w:pPr>
        <w:pStyle w:val="Heading2"/>
        <w:keepNext w:val="true"/>
        <w:keepLines/>
        <w:widowControl/>
        <w:tabs>
          <w:tab w:val="clear" w:pos="1800"/>
        </w:tabs>
        <w:ind w:hanging="0" w:end="0"/>
        <w:rPr>
          <w:b/>
        </w:rPr>
      </w:pPr>
      <w:r>
        <w:rPr>
          <w:b/>
        </w:rPr>
        <w:t>6.</w:t>
        <w:tab/>
        <w:t xml:space="preserve">ACCOUNTING AND REPORTS </w:t>
      </w:r>
    </w:p>
    <w:p>
      <w:pPr>
        <w:pStyle w:val="Heading2"/>
        <w:widowControl/>
        <w:tabs>
          <w:tab w:val="clear" w:pos="1800"/>
        </w:tabs>
        <w:ind w:firstLine="720" w:end="0"/>
        <w:rPr/>
      </w:pPr>
      <w:r>
        <w:rPr/>
        <w:t>(a)</w:t>
        <w:tab/>
        <w:t>EPMI shall provide reasonably detailed periodic reports describing the marketing of Products under this Agreement and the relative position and exposure of MDEA in the market.  If requested by MDEA, EPMI shall provide such reports electronically; provided, however, MDEA shall be responsible for any costs, which may be incurred by MDEA to receive the reports in an electronic form.  The required reports are set forth on Exhibit C which is incorporated in this Agreement in its entirety.</w:t>
      </w:r>
    </w:p>
    <w:p>
      <w:pPr>
        <w:pStyle w:val="Heading2"/>
        <w:widowControl/>
        <w:tabs>
          <w:tab w:val="clear" w:pos="1800"/>
        </w:tabs>
        <w:ind w:firstLine="720" w:end="0"/>
        <w:rPr/>
      </w:pPr>
      <w:r>
        <w:rPr/>
        <w:t>(b)</w:t>
        <w:tab/>
        <w:t xml:space="preserve">EPMI shall provide to MDEA sufficient information regarding each Back-to-Back Transaction to permit MDEA to determine the Market Price, the amount of Products sold , the Delivery Point, the duration , and (to the extent legally permitted) the third party. </w:t>
      </w:r>
    </w:p>
    <w:p>
      <w:pPr>
        <w:pStyle w:val="Heading1"/>
        <w:keepNext w:val="true"/>
        <w:keepLines/>
        <w:widowControl/>
        <w:tabs>
          <w:tab w:val="clear" w:pos="360"/>
        </w:tabs>
        <w:ind w:firstLine="720" w:start="0" w:end="0"/>
        <w:rPr/>
      </w:pPr>
      <w:r>
        <w:rPr/>
        <w:t>(c)</w:t>
        <w:tab/>
        <w:t>EPMI shall be responsible for the administration of and accounting related to (i) the Costs of scheduling and delivery under all Transactions and Existing Transactions (ii) the Market Proceeds; (iii) all daily nominations, confirmations and other information for Fuel-Related Transactions, and (iv) compliance with the Trading and Risk Policy and Fuel Management Plan. A description of the accounting anticipated under this Agreement is set forth on the chart attached to and incorporated into this Agreement as Exhibit F.  MDEA agrees to provide any and all assistance and information reasonably necessary in order for EPMI to provide the foregoing services.   MDEA acknowledges that it shall be responsible to pay the suppliers for all fuel and transportation, but, as provided for above, EPMI, as Fuel Manager, shall provide reasonably sufficient information to permit MDEA to be able to adequately verify all Fuel Costs.</w:t>
      </w:r>
    </w:p>
    <w:p>
      <w:pPr>
        <w:pStyle w:val="Heading1"/>
        <w:widowControl/>
        <w:tabs>
          <w:tab w:val="clear" w:pos="360"/>
        </w:tabs>
        <w:ind w:hanging="0" w:start="0"/>
        <w:rPr>
          <w:b/>
        </w:rPr>
      </w:pPr>
      <w:r>
        <w:rPr>
          <w:b/>
        </w:rPr>
        <w:t>7.</w:t>
        <w:tab/>
        <w:t xml:space="preserve">MARKETING AND SALES </w:t>
      </w:r>
    </w:p>
    <w:p>
      <w:pPr>
        <w:pStyle w:val="Heading2"/>
        <w:widowControl/>
        <w:numPr>
          <w:ilvl w:val="0"/>
          <w:numId w:val="21"/>
        </w:numPr>
        <w:tabs>
          <w:tab w:val="clear" w:pos="1800"/>
        </w:tabs>
        <w:ind w:firstLine="720" w:start="0" w:end="0"/>
        <w:rPr/>
      </w:pPr>
      <w:r>
        <w:rPr/>
        <w:t>EPMI shall be primarily responsible for the marketing of all Products under Transactions which can be fully performed within ninety (90) days of the date such Transaction is entered into.</w:t>
      </w:r>
    </w:p>
    <w:p>
      <w:pPr>
        <w:pStyle w:val="Heading2"/>
        <w:widowControl/>
        <w:tabs>
          <w:tab w:val="clear" w:pos="1800"/>
        </w:tabs>
        <w:ind w:firstLine="720" w:end="0"/>
        <w:rPr/>
      </w:pPr>
      <w:r>
        <w:rPr/>
        <w:t>(b)</w:t>
        <w:tab/>
        <w:t xml:space="preserve">MDEA and EPMI shall jointly be responsible to market Structured Transactions as provided for from time to time in the Marketing Strategy and Trading and Risk Policy.  EPMI shall use Prudent Marketing Practices to locate potential counterparties for Structured Transactions, and shall assist MDEA in negotiating the terms of Structured Transactions, provided however, that EPMI shall not be obligated to provide (and will not provide) any legal, accounting or tax advice in connection therewith. It is expressly understood that MDEA shall be primarily responsible for such negotiations and, if acceptable in MDEA’s sole discretion, shall enter into Structured Transactions on its own behalf. </w:t>
      </w:r>
    </w:p>
    <w:p>
      <w:pPr>
        <w:pStyle w:val="Heading2"/>
        <w:widowControl/>
        <w:tabs>
          <w:tab w:val="clear" w:pos="1800"/>
        </w:tabs>
        <w:ind w:firstLine="720" w:end="0"/>
        <w:rPr/>
      </w:pPr>
      <w:r>
        <w:rPr/>
        <w:t>(c)</w:t>
        <w:tab/>
        <w:t>EPMI shall exercise Prudent Marketing Practices and shall employ the same skill, expertise and judgment to market and sell Products available from the Facilities as EPMI would employ on its own behalf to market and sell Products, subject to the Trading and Risk Policy and the other provisions of this Agreement.</w:t>
      </w:r>
    </w:p>
    <w:p>
      <w:pPr>
        <w:pStyle w:val="Heading2"/>
        <w:widowControl/>
        <w:tabs>
          <w:tab w:val="clear" w:pos="1800"/>
          <w:tab w:val="left" w:pos="720" w:leader="none"/>
        </w:tabs>
        <w:ind w:hanging="0" w:end="0"/>
        <w:rPr/>
      </w:pPr>
      <w:r>
        <w:rPr>
          <w:b/>
        </w:rPr>
        <w:t>8.</w:t>
        <w:tab/>
        <w:t>PERFORMANCE STANDARDS APPLICABLE TO THE PARTIES</w:t>
      </w:r>
      <w:r>
        <w:rPr/>
        <w:t xml:space="preserve">  </w:t>
      </w:r>
    </w:p>
    <w:p>
      <w:pPr>
        <w:pStyle w:val="Heading2"/>
        <w:widowControl/>
        <w:tabs>
          <w:tab w:val="clear" w:pos="1800"/>
        </w:tabs>
        <w:ind w:firstLine="720" w:end="0"/>
        <w:rPr/>
      </w:pPr>
      <w:r>
        <w:rPr/>
        <w:t>(a)</w:t>
        <w:tab/>
        <w:t>In fulfillment of EPMI’s obligations under this Agreement, the following standards shall apply to EPMI:</w:t>
      </w:r>
    </w:p>
    <w:p>
      <w:pPr>
        <w:pStyle w:val="Heading2"/>
        <w:widowControl/>
        <w:ind w:firstLine="720" w:start="720" w:end="0"/>
        <w:rPr/>
      </w:pPr>
      <w:r>
        <w:rPr/>
        <w:t>(1)</w:t>
        <w:tab/>
        <w:tab/>
        <w:t>For all Available Energy, EPMI shall endeavor to achieve a rolling three (3) month average of all On-Peak market prices for all Back-to-Back and EPMI Transactions (to the extent that there are any), greater than or equal to 94% of the cumulative average determined for the same period (taking into consideration any period during which the Facilities is unavailable) of the Weighted Average Index price as published in Megawatt Daily’s Market Report Trades for Standard 16-hour Daily Products under the Delivery Point heading “SERC B”.  The Parties expressly agree that the foregoing standard is not an assurance regarding actual prices from sales of the Products but rather a benchmark for EPMI’s performance under this Agreement (which if not satisfied will constitute an Event of Default under this Agreement and if not cured will afford MDEA with the ability to terminate this Agreement).</w:t>
      </w:r>
    </w:p>
    <w:p>
      <w:pPr>
        <w:pStyle w:val="Heading2"/>
        <w:widowControl/>
        <w:tabs>
          <w:tab w:val="clear" w:pos="1800"/>
        </w:tabs>
        <w:ind w:firstLine="720" w:start="720" w:end="0"/>
        <w:rPr/>
      </w:pPr>
      <w:r>
        <w:rPr/>
        <w:t>(2)</w:t>
        <w:tab/>
        <w:t>In addition, EPMI shall perform its duties under this Agreement using Prudent Marketing Practices.  EPMI’s standard of care for its conduct in relation to this Agreement is that of a commercially reasonable person engaged in the business of buying and selling Products.</w:t>
      </w:r>
    </w:p>
    <w:p>
      <w:pPr>
        <w:pStyle w:val="Heading2"/>
        <w:widowControl/>
        <w:numPr>
          <w:ilvl w:val="0"/>
          <w:numId w:val="21"/>
        </w:numPr>
        <w:tabs>
          <w:tab w:val="clear" w:pos="1800"/>
          <w:tab w:val="left" w:pos="0" w:leader="none"/>
        </w:tabs>
        <w:ind w:firstLine="720" w:start="0" w:end="0"/>
        <w:rPr/>
      </w:pPr>
      <w:r>
        <w:rPr/>
        <w:t>The following standards shall apply to MDEA’s obligations under this Agreement:</w:t>
      </w:r>
    </w:p>
    <w:p>
      <w:pPr>
        <w:pStyle w:val="Heading2"/>
        <w:widowControl/>
        <w:ind w:firstLine="720" w:start="720" w:end="0"/>
        <w:rPr/>
      </w:pPr>
      <w:r>
        <w:rPr/>
        <w:t>(1)</w:t>
        <w:tab/>
        <w:tab/>
        <w:t>MDEA shall maintain an “Availability Factor” of at least 90% during On-Peak hours.  Availability Factor shall be calculated on a rolling three (3) month average basis in accordance with the following formula:  (Maximum Availability)-Unavailable MWh’s (for reasons other than Force Majeure) during such period)/Maximum Availability.  For purposes of the foregoing calculation, (i) Maximum Availability shall mean the number of MWh’s possible in the three (3) month calculation period = Aggregate number of On-Peak hours during such period x 480 MWh (capacity of the Facilities) and (ii) Unavailable MWh’s shall mean the number of MWh’s that the Facilities was unavailable during On-Peak hours. The Parties expressly agree that the foregoing standard is not an assurance regarding actual availability of Products but rather a benchmark for MDEA’s performance under this Agreement (which if not satisfied will constitute an Event of Default under this Agreement and if not cured will afford EPMI with the ability to terminate this Agreement).</w:t>
      </w:r>
    </w:p>
    <w:p>
      <w:pPr>
        <w:pStyle w:val="Heading2"/>
        <w:widowControl/>
        <w:ind w:firstLine="720" w:start="720" w:end="0"/>
        <w:rPr/>
      </w:pPr>
      <w:r>
        <w:rPr/>
      </w:r>
    </w:p>
    <w:p>
      <w:pPr>
        <w:pStyle w:val="Heading2"/>
        <w:widowControl/>
        <w:tabs>
          <w:tab w:val="clear" w:pos="1800"/>
        </w:tabs>
        <w:ind w:firstLine="720" w:start="720" w:end="0"/>
        <w:rPr/>
      </w:pPr>
      <w:r>
        <w:rPr/>
        <w:t>(2)</w:t>
        <w:tab/>
        <w:t>In addition, MDEA shall act in a commercially reasonably manner in performing its obligations under this Agreement and shall be obligated to operate the Facilities using Prudent Operating Practices.</w:t>
      </w:r>
    </w:p>
    <w:p>
      <w:pPr>
        <w:pStyle w:val="Heading2"/>
        <w:widowControl/>
        <w:tabs>
          <w:tab w:val="left" w:pos="1440" w:leader="none"/>
          <w:tab w:val="left" w:pos="1800" w:leader="none"/>
        </w:tabs>
        <w:ind w:firstLine="720" w:end="0"/>
        <w:rPr/>
      </w:pPr>
      <w:r>
        <w:rPr/>
        <w:t>(c)</w:t>
        <w:tab/>
        <w:t>Notwithstanding anything in this Agreement to the contrary, the Parties agree and acknowledge that (i) EPMI is not (and will not be) providing to MDEA advice concerning trading commodity interests, and (ii) EPMI is not acting as a commodity trading advisor (as defined in the Commodity Exchange Act).</w:t>
      </w:r>
    </w:p>
    <w:p>
      <w:pPr>
        <w:pStyle w:val="Heading2"/>
        <w:widowControl/>
        <w:tabs>
          <w:tab w:val="clear" w:pos="1800"/>
        </w:tabs>
        <w:ind w:hanging="0" w:end="0"/>
        <w:rPr/>
      </w:pPr>
      <w:r>
        <w:rPr>
          <w:b/>
        </w:rPr>
        <w:t>9.</w:t>
      </w:r>
      <w:r>
        <w:rPr/>
        <w:tab/>
      </w:r>
      <w:r>
        <w:rPr>
          <w:b/>
        </w:rPr>
        <w:t>DELIVERY POINT; TITLE</w:t>
      </w:r>
    </w:p>
    <w:p>
      <w:pPr>
        <w:pStyle w:val="Heading2"/>
        <w:widowControl/>
        <w:tabs>
          <w:tab w:val="clear" w:pos="1800"/>
        </w:tabs>
        <w:ind w:firstLine="720" w:end="0"/>
        <w:rPr/>
      </w:pPr>
      <w:r>
        <w:rPr/>
        <w:t>(a)</w:t>
        <w:tab/>
        <w:t>In any sale of Products by MDEA to EPMI under a Transaction contemplated under this Agreement, MDEA shall deliver Products to EPMI at the Delivery Point or Points that are set forth from time to time in the Confirmations.</w:t>
      </w:r>
    </w:p>
    <w:p>
      <w:pPr>
        <w:pStyle w:val="Heading2"/>
        <w:widowControl/>
        <w:numPr>
          <w:ilvl w:val="0"/>
          <w:numId w:val="15"/>
        </w:numPr>
        <w:tabs>
          <w:tab w:val="clear" w:pos="1800"/>
        </w:tabs>
        <w:ind w:firstLine="720" w:start="0" w:end="0"/>
        <w:rPr/>
      </w:pPr>
      <w:r>
        <w:rPr/>
        <w:t>Title to the Products marketed under this Agreement and sold thereafter under the MPPSA shall be governed by the terms of the MPPSA.</w:t>
      </w:r>
    </w:p>
    <w:p>
      <w:pPr>
        <w:pStyle w:val="Heading1"/>
        <w:widowControl/>
        <w:tabs>
          <w:tab w:val="clear" w:pos="360"/>
        </w:tabs>
        <w:ind w:hanging="720" w:start="720" w:end="0"/>
        <w:rPr>
          <w:b/>
        </w:rPr>
      </w:pPr>
      <w:r>
        <w:rPr>
          <w:b/>
        </w:rPr>
        <w:t>10.</w:t>
        <w:tab/>
        <w:t>TRANSMISSION OF AVAILABLE ENERGY, CAPACITY, AND ANCILLARY SERVICES PRODUCED BY THE FACILITY</w:t>
      </w:r>
    </w:p>
    <w:p>
      <w:pPr>
        <w:pStyle w:val="Heading2"/>
        <w:widowControl/>
        <w:tabs>
          <w:tab w:val="clear" w:pos="1800"/>
        </w:tabs>
        <w:ind w:firstLine="720" w:end="0"/>
        <w:rPr/>
      </w:pPr>
      <w:r>
        <w:rPr/>
        <w:t>(a)</w:t>
        <w:tab/>
        <w:t>In connection with any Back-to-Back Transaction, MDEA shall be responsible for making the Products available to EPMI at the busbar of the Facilities, and EPMI shall be responsible for and shall make all arrangements, including transmission arrangements, necessary to deliver (on behalf of MDEA) the Products to the third party at the Delivery Point under a Back-to-Back Transaction with such third party.  Any Costs or other expenses incurred by EPMI pursuant to the foregoing provision shall be (i) paid from Market Proceeds, or if Market Proceeds are insufficient, (ii) shall be reimbursed by MDEA as provided for in Section 16(a) of this Agreement. )</w:t>
        <w:tab/>
        <w:t>The Parties hereby incorporate Appendix A which is attached hereto and agree that the terms and conditions contained therein relating to the provision of QSE Services shall be considered a part of this Agreement.</w:t>
      </w:r>
    </w:p>
    <w:p>
      <w:pPr>
        <w:pStyle w:val="Heading1"/>
        <w:keepNext w:val="true"/>
        <w:keepLines/>
        <w:widowControl/>
        <w:tabs>
          <w:tab w:val="clear" w:pos="360"/>
        </w:tabs>
        <w:ind w:hanging="0" w:start="0"/>
        <w:rPr>
          <w:b/>
        </w:rPr>
      </w:pPr>
      <w:r>
        <w:rPr>
          <w:b/>
        </w:rPr>
        <w:t>11.</w:t>
        <w:tab/>
        <w:t>FUEL MANAGEMENT</w:t>
      </w:r>
    </w:p>
    <w:p>
      <w:pPr>
        <w:pStyle w:val="Heading1"/>
        <w:widowControl/>
        <w:numPr>
          <w:ilvl w:val="0"/>
          <w:numId w:val="14"/>
        </w:numPr>
        <w:tabs>
          <w:tab w:val="clear" w:pos="360"/>
        </w:tabs>
        <w:ind w:firstLine="720" w:start="0" w:end="0"/>
        <w:rPr/>
      </w:pPr>
      <w:r>
        <w:rPr/>
        <w:t>MDEA hereby appoints EPMI as the Fuel Manager (Fuel Manager) for all Fuel-Related Transactions for the Facilities and agrees to execute any and all documentation reasonably necessary to evidence the same.  Consistent with or as required by the Fuel Management Plan, EPMI shall arrange, on behalf of MDEA, and assist in negotiating the acquisition and delivery of all natural gas, together with all required transportation services, necessary for operation of the Facilities; provided, however, that EPMI shall not become a party to any Fuel-Related Transaction or be deemed MDEA’s agent in connection therewith or be required to provide credit support in connection therewith.  MDEA shall be responsible for entering into trading agreements or other agreements pursuant to which EPMI can purchase fuel on behalf of MDEA.  The Parties recognize that without MDEA’s full and active participation in setting up trading agreements with an appropriate number and diversity of counterparties and acquiring additional transportation agreements, EPMI will not be able to procure fuel for the Facilities or seek to reduce Fuel Costs.  It is expressly understood that on the Effective Date, certain Fuel-Related Transactions are in effect, under which MDEA may be obligated to purchase and transport certain quantities of natural gas.  Commencing on the Effective Date, EPMI shall manage and administer the Fuel-Related Transactions, consistent with the Fuel Management Plan.  EPMI will manage Fuel-Related Transactions for which it is responsible, in the commercially reasonable exercise of its skill and experience, to provide natural gas to the Facilities in an effort to assist MDEA in optimizing the value of the Facilities by seeking to maximize Net Revenue. The Risk Management Committee shall review and approve the Fuel Management Plan, and shall, from time to time, change, modify or amend the Fuel Management Plan.  EPMI shall make such nominations, and schedule delivery of natural gas necessary for operation of the Facilities consistent with the operational requirements of the Facilities and to meet all Transaction obligations.</w:t>
      </w:r>
    </w:p>
    <w:p>
      <w:pPr>
        <w:pStyle w:val="Heading2"/>
        <w:tabs>
          <w:tab w:val="clear" w:pos="1800"/>
        </w:tabs>
        <w:ind w:firstLine="720" w:start="720" w:end="0"/>
        <w:rPr/>
      </w:pPr>
      <w:r>
        <w:rPr/>
        <w:t>(b)</w:t>
        <w:tab/>
        <w:t xml:space="preserve">EPMI agrees to provide the necessary, fundamental market information (specifically excluding any information which EPMI believes is confidential or otherwise proprietary) reasonably required for MDEA to make informed economic decisions concerning Fuel-Related Transactions.  The Fuel Management Plan shall include procedures necessary for determining the appropriate natural gas acquisition strategy taking into consideration long term, intermediate term and short-term natural gas purchases and transportation. </w:t>
      </w:r>
    </w:p>
    <w:p>
      <w:pPr>
        <w:pStyle w:val="Heading2"/>
        <w:tabs>
          <w:tab w:val="clear" w:pos="1800"/>
        </w:tabs>
        <w:ind w:hanging="0" w:end="0"/>
        <w:rPr>
          <w:b/>
        </w:rPr>
      </w:pPr>
      <w:r>
        <w:rPr>
          <w:b/>
        </w:rPr>
        <w:t>12.</w:t>
        <w:tab/>
        <w:t>TRADING AND RISK POLICY</w:t>
      </w:r>
    </w:p>
    <w:p>
      <w:pPr>
        <w:pStyle w:val="Heading2"/>
        <w:widowControl/>
        <w:tabs>
          <w:tab w:val="clear" w:pos="1800"/>
        </w:tabs>
        <w:ind w:firstLine="720" w:end="0"/>
        <w:rPr/>
      </w:pPr>
      <w:r>
        <w:rPr/>
        <w:t>(a)</w:t>
        <w:tab/>
        <w:t>This Agreement, and EPMI’s performance under this Agreement and all Transactions entered into as a result of EPMI's marketing activities are expressly subject to the Trading and Risk Policy, which shall define the limits on risks and liabilities to which EPMI shall adhere.  It is expressly understood and agreed that in all Back-to-Back Transactions, EPMI shall bear all risk associated with the failure of any counterparty to perform or pay irrespective of whether the Transaction, when entered into, conformed to the terms and conditions of the Trading and Risk Policy.  Structured Transactions or activities specifically and separately approved in writing by MDEA in advance shall be deemed to be in accordance with the Trading and Risk Policy and the other provisions of this Agreement and MDEA shall bear all risk associated with such third parties failure to perform or pay.  After the Effective Date, the Risk Management Committee shall meet in accordance with Section 12(b) below and determine the Marketing Strategy, and shall from time to time during the Term of this Agreement, change modify or amend the Marketing Strategy.</w:t>
      </w:r>
    </w:p>
    <w:p>
      <w:pPr>
        <w:pStyle w:val="Heading2"/>
        <w:widowControl/>
        <w:tabs>
          <w:tab w:val="clear" w:pos="1800"/>
        </w:tabs>
        <w:ind w:firstLine="720" w:end="0"/>
        <w:rPr/>
      </w:pPr>
      <w:r>
        <w:rPr/>
        <w:t>(b)</w:t>
        <w:tab/>
        <w:t xml:space="preserve">A committee, comprised of two (2) members appointed by MDEA and one (1) member appointed by EPMI (Risk Management Committee), shall be established to approve, review and change, modify, or amend the Trading and Risk Policy, Marketing Strategy and Fuel Management Plan from time to time during the Term of this Agreement.  Not more than Five (5) Business Days following the Effective Date, the Risk Management Committee shall meet and shall review the Marketing Strategy and the Trading and Risk Policy and the Fuel Management Plan.  The Risk Management Committee shall agree upon such procedures as they determine necessary for the effective operation and communication between and among the Risk Management Committee members.  Thereafter, as frequently as a majority of the members of the Risk Management Committee shall reasonably determine, the Risk Management Committee shall meet to review the provisions of the Trading and Risk Policy, the Marketing Strategy, the Fuel Management Plan.  No change to the Marketing Strategy, Trading and Risk Policy or Fuel Management Plan shall be adopted without the unanimous approval of the members of the Risk Management Committee.  </w:t>
      </w:r>
    </w:p>
    <w:p>
      <w:pPr>
        <w:pStyle w:val="Heading2"/>
        <w:widowControl/>
        <w:tabs>
          <w:tab w:val="clear" w:pos="1800"/>
        </w:tabs>
        <w:ind w:firstLine="720" w:end="0"/>
        <w:rPr/>
      </w:pPr>
      <w:r>
        <w:rPr/>
        <w:t>(c)</w:t>
        <w:tab/>
        <w:t>All meetings which cannot be conducted telephonically or by teleconference, whether under this Section 12 or otherwise in connection with this Agreement, shall take place in Houston, Texas unless otherwise agreed by the Parties.</w:t>
      </w:r>
    </w:p>
    <w:p>
      <w:pPr>
        <w:pStyle w:val="Heading1"/>
        <w:keepNext w:val="true"/>
        <w:keepLines/>
        <w:widowControl/>
        <w:tabs>
          <w:tab w:val="clear" w:pos="360"/>
        </w:tabs>
        <w:ind w:hanging="0" w:start="0"/>
        <w:rPr>
          <w:b/>
        </w:rPr>
      </w:pPr>
      <w:r>
        <w:rPr>
          <w:b/>
        </w:rPr>
        <w:t>13.</w:t>
        <w:tab/>
        <w:t>METERING</w:t>
      </w:r>
    </w:p>
    <w:p>
      <w:pPr>
        <w:pStyle w:val="Heading3"/>
        <w:widowControl/>
        <w:tabs>
          <w:tab w:val="clear" w:pos="2520"/>
        </w:tabs>
        <w:ind w:start="0" w:end="0"/>
        <w:rPr/>
      </w:pPr>
      <w:r>
        <w:rPr/>
        <w:t>It is anticipated by the Parties that all measurement of Products sold in Back-to-Back Transactions and EPMI Transactions shall be measured in accordance with the terms of the MPPSA.  However, in the event that the terms of the MPPSA do not apply, all metering responsibilities shall be borne by MDEA and all Products sold shall be measured in accordance with the metering provisions contained in Annex A attached hereto.</w:t>
      </w:r>
    </w:p>
    <w:p>
      <w:pPr>
        <w:pStyle w:val="Heading1"/>
        <w:widowControl/>
        <w:tabs>
          <w:tab w:val="clear" w:pos="360"/>
        </w:tabs>
        <w:ind w:hanging="0" w:start="0"/>
        <w:rPr>
          <w:b/>
        </w:rPr>
      </w:pPr>
      <w:r>
        <w:rPr>
          <w:b/>
        </w:rPr>
        <w:t>14.</w:t>
        <w:tab/>
        <w:t>FORCE MAJEURE</w:t>
      </w:r>
    </w:p>
    <w:p>
      <w:pPr>
        <w:pStyle w:val="Heading2"/>
        <w:widowControl/>
        <w:tabs>
          <w:tab w:val="clear" w:pos="1800"/>
        </w:tabs>
        <w:ind w:firstLine="720" w:end="0"/>
        <w:rPr/>
      </w:pPr>
      <w:r>
        <w:rPr/>
        <w:t>(a)</w:t>
        <w:tab/>
        <w:t>Except with regard to a Party’s obligation to make payments under this Agreement, in the event either Party is rendered unable, wholly or in part, by Force Majeure to carry out its obligations, upon such Party’s giving notice as soon as reasonably possible (but no later than fourteen (14) days after such Party becomes aware of the event), and full particulars of such Force Majeure, including expected duration, such notice to be confirmed in writing to the other Party, such obligations of said Party shall, to the extent they are affected by such Force Majeure, be suspended during the continuance of said inability.  A failure to give timely notice of the Force Majeure event shall constitute a waiver of the claim of Force Majeure event.  The Party experiencing the Force Majeure event shall also provide notice, as soon as reasonably practicable, when the Force Majeure event ends.</w:t>
      </w:r>
    </w:p>
    <w:p>
      <w:pPr>
        <w:pStyle w:val="Heading2"/>
        <w:widowControl/>
        <w:tabs>
          <w:tab w:val="clear" w:pos="1800"/>
        </w:tabs>
        <w:ind w:firstLine="720" w:end="0"/>
        <w:rPr/>
      </w:pPr>
      <w:r>
        <w:rPr/>
        <w:t>(b)</w:t>
        <w:tab/>
        <w:t>A Party affected by an event of Force Majeure shall take all reasonable measures to mitigate the effects of such event of Force Majeure and shall use commercially reasonable efforts to resume performance of its obligations hereunder and to remedy its inability to perform at the earliest practicable time, and shall keep the other Party informed of any changes in the expected duration of its inability to perform.  Neither Party shall be required to settle any strike or labor dispute.</w:t>
      </w:r>
    </w:p>
    <w:p>
      <w:pPr>
        <w:pStyle w:val="Heading2"/>
        <w:widowControl/>
        <w:tabs>
          <w:tab w:val="clear" w:pos="1800"/>
        </w:tabs>
        <w:ind w:firstLine="720" w:end="0"/>
        <w:rPr/>
      </w:pPr>
      <w:r>
        <w:rPr/>
        <w:t>(c)</w:t>
        <w:tab/>
        <w:t>If the Parties are unable in good faith to agree that an event of Force Majeure has occurred, the Party claiming Force Majeure shall have the burden of proof with respect to such claim.</w:t>
      </w:r>
    </w:p>
    <w:p>
      <w:pPr>
        <w:pStyle w:val="Heading1"/>
        <w:widowControl/>
        <w:tabs>
          <w:tab w:val="clear" w:pos="360"/>
        </w:tabs>
        <w:ind w:hanging="0" w:start="0"/>
        <w:rPr>
          <w:b/>
        </w:rPr>
      </w:pPr>
      <w:r>
        <w:rPr>
          <w:b/>
        </w:rPr>
        <w:t>15.</w:t>
        <w:tab/>
        <w:t>FINANCIAL SECURITY AND GUARANTY</w:t>
      </w:r>
    </w:p>
    <w:p>
      <w:pPr>
        <w:pStyle w:val="NormalIndent"/>
        <w:widowControl/>
        <w:ind w:firstLine="720" w:end="0"/>
        <w:rPr/>
      </w:pPr>
      <w:r>
        <w:rPr/>
        <w:t>[As a condition precedent to entering into this Agreement, and as a continuing condition to the performance by MDEA under this Agreement, EPMI agrees to provide to MDEA, and to maintain throughout the Term, adequate financial security to guarantee to MDEA all payments due MDEA under this Agreement in the form of either (i) an irrevocable letter of credit in favor of MDEA in the initial total amount of Forty Five Million ($45,000,000) Dollars, in the form and drawn upon a bank acceptable to MDEA having a bank rating of not less than A; or (ii) a guaranty of payment of all payments due from EPMI in favor of MDEA in the initial amount of Forty Five Million ($45,000,000) Dollars and in the form set forth on Exhibit E to this Agreement issued by EPMI’s parent company, Enron Corp.  As a condition precedent to entering into this Agreement, and as a continuing condition to the performance by EPMI under this Agreement, MDEA agrees to provide to EPMI, and to maintain throughout the Term, adequate financial security to guarantee to EPMI all payments due EPMI under this Agreement in the form of either (i) an irrevocable letter of credit in favor of EPMI in the initial total amount of Fifteen Million ($15,000,000) Dollars, in the form and drawn upon a bank acceptable to EPMI having a bank rating of not less than A; or (ii) a guaranty in the form set forth on Exhibit G in the initial amount of Fifteen Million ($15,000,000) Dollars issued by MDEA’s parent company, TECO Power Services Corporation.  The Financial Security identified above is the financial security believed to be necessary by the Parties in order to enter into the Transactions currently contemplated by the Agreement and pursuant to the Trading and Risk Policy in effect on the Effective Date hereof.  In the event that the Risk Management Committee changes the Trading and Risk Policy or the types/quantities of Transactions to be consummated under this Agreement, the Parties may seek to increase the levels of Financial Security.]</w:t>
      </w:r>
    </w:p>
    <w:p>
      <w:pPr>
        <w:pStyle w:val="Heading1"/>
        <w:widowControl/>
        <w:tabs>
          <w:tab w:val="clear" w:pos="360"/>
        </w:tabs>
        <w:ind w:hanging="0" w:start="0"/>
        <w:rPr>
          <w:b/>
        </w:rPr>
      </w:pPr>
      <w:r>
        <w:rPr>
          <w:b/>
        </w:rPr>
        <w:t>16.</w:t>
        <w:tab/>
        <w:t>PAYMENTS AND FEES</w:t>
      </w:r>
    </w:p>
    <w:p>
      <w:pPr>
        <w:pStyle w:val="Heading2"/>
        <w:widowControl/>
        <w:tabs>
          <w:tab w:val="clear" w:pos="1800"/>
        </w:tabs>
        <w:ind w:firstLine="720" w:end="0"/>
        <w:rPr/>
      </w:pPr>
      <w:r>
        <w:rPr/>
        <w:t>(a)</w:t>
        <w:tab/>
        <w:t>From the Market Proceeds, EPMI shall make payment for all applicable Costs and Existing Transaction Costs to the extent that (i) EPMI has actual knowledge of such Costs (in the event that EPMI does not incur the Costs) and (ii) the Market Proceeds are sufficient to cover such Costs and Existing Transaction Costs.  EPMI shall submit to MDEA, unless otherwise agreed by the Parties, on or before the tenth (10th) day of each calendar month, a statement detailing the Market Proceeds and all applicable Costs and Existing Transaction Costs for the preceding month.  The statement shall set forth the Market Price in each Confirmation, the quantity of Products that were sold and scheduled for delivery in the previous month, and the Costs actually incurred in connection with such Transactions, together with any other relevant information.  To the extent not remitted under the MPPSA, EPMI shall remit the Market Proceeds, less (x) any and all fees due EPMI pursuant to the terms of this Agreement and (y) all Costs and Existing Transaction Costs paid or to be paid by EPMI, by wire transfer on the 20th day of each calendar month (Payment Date), pursuant to instructions for such wire transfer provided by MDEA.  In the event that the Market Proceeds are insufficient to cover the Costs and the Existing Transaction Costs otherwise payable by EPMI, MDEA shall (within two (2) Business Days) following receipt of a written invoice from EPMI, remit to EPMI the amount of funds necessary to make full payment of the Costs and Existing Transaction Costs.  For avoidance of doubt, MDEA shall ultimately be responsible for all Costs and the Existing Transaction Costs and shall be obligated to reimburse EPMI for any Costs and Existing Transaction Costs that it incurs or otherwise pays.</w:t>
      </w:r>
    </w:p>
    <w:p>
      <w:pPr>
        <w:pStyle w:val="Heading2"/>
        <w:widowControl/>
        <w:tabs>
          <w:tab w:val="clear" w:pos="1800"/>
        </w:tabs>
        <w:ind w:firstLine="720" w:end="0"/>
        <w:rPr/>
      </w:pPr>
      <w:r>
        <w:rPr/>
        <w:t>(b)</w:t>
        <w:tab/>
        <w:t xml:space="preserve">During the Term of this Agreement, EPMI shall be entitled to fees earned for performance as follows: </w:t>
      </w:r>
    </w:p>
    <w:p>
      <w:pPr>
        <w:pStyle w:val="Heading2"/>
        <w:widowControl/>
        <w:tabs>
          <w:tab w:val="clear" w:pos="1800"/>
        </w:tabs>
        <w:ind w:firstLine="720" w:start="720" w:end="0"/>
        <w:rPr/>
      </w:pPr>
      <w:r>
        <w:rPr/>
        <w:t>(1)</w:t>
        <w:tab/>
        <w:t>an annual fee of ($) Dollars per calendar year.  In calendar year 2001, the annual fee owed by MDEA to EPMI shall be prorated by dividing the annual fee by twelve (12) and multiplying it times the number of months during the year this Agreement was in effect.  The amount so determined shall be paid (in arrears) to EPMI in equal amounts at the end of each calendar quarter beginning with the first calendar quarter following the Effective Date.  The amount payable shall be paid by the twentieth (20</w:t>
      </w:r>
      <w:r>
        <w:rPr>
          <w:vertAlign w:val="superscript"/>
        </w:rPr>
        <w:t>th</w:t>
      </w:r>
      <w:r>
        <w:rPr/>
        <w:t xml:space="preserve">) day of the month following the end of the calendar quarter or may be deducted by EPMI from Market Proceeds due to MDEA.  For any part month, the monthly amount shall be divided by thirty (30) and multiplied times the number of days in the part month in which this Agreement was in effect. </w:t>
      </w:r>
    </w:p>
    <w:p>
      <w:pPr>
        <w:pStyle w:val="Heading2"/>
        <w:widowControl/>
        <w:tabs>
          <w:tab w:val="clear" w:pos="1800"/>
        </w:tabs>
        <w:ind w:firstLine="720" w:start="720" w:end="0"/>
        <w:rPr/>
      </w:pPr>
      <w:r>
        <w:rPr/>
        <w:t>(2)</w:t>
        <w:tab/>
        <w:t>In addition, for each full calendar year this Agreement is in effect, EPMI shall be paid an incentive fee consisting of a percentage of the Profit, payable as follows:</w:t>
      </w:r>
    </w:p>
    <w:p>
      <w:pPr>
        <w:pStyle w:val="Heading2"/>
        <w:widowControl/>
        <w:tabs>
          <w:tab w:val="clear" w:pos="1800"/>
          <w:tab w:val="left" w:pos="0" w:leader="none"/>
        </w:tabs>
        <w:ind w:firstLine="720" w:start="720" w:end="0"/>
        <w:rPr/>
      </w:pPr>
      <w:r>
        <w:rPr/>
        <w:t>(3)</w:t>
        <w:tab/>
        <w:t>If either Party shall fail to remit any amount payable when due, interest on such unpaid sum shall accrue at a rate equal to the lesser of (i) the per annum rate of interest equal to the prime lending rate as may be published in the Wall Street Journal under “Money Rates” on such date (or if not published on such day on the most recent preceding day on which published) plus 2% per annum and (ii) the maximum rate permitted by applicable law (Interest Rate) until the unpaid amount and the accruing interest are paid in full.</w:t>
      </w:r>
    </w:p>
    <w:p>
      <w:pPr>
        <w:pStyle w:val="Heading2"/>
        <w:widowControl/>
        <w:tabs>
          <w:tab w:val="clear" w:pos="1800"/>
          <w:tab w:val="left" w:pos="0" w:leader="none"/>
        </w:tabs>
        <w:ind w:firstLine="720" w:start="720" w:end="0"/>
        <w:rPr/>
      </w:pPr>
      <w:r>
        <w:rPr/>
        <w:t>(4)</w:t>
        <w:tab/>
        <w:t xml:space="preserve">If either Party, in good faith, disputes the amount of any payment, or any part thereof, such Party (Disputing Party) shall provide a written explanation of the basis for the dispute. If the Parties are unable to resolve the dispute within five (5) Business Days of such notice, the Disputing Party may exercise its rights under Section 21, provided, however, that the exercise of such rights shall not in any way affect the non-Disputing Party’s rights under Section 21 in response to such action. </w:t>
      </w:r>
    </w:p>
    <w:p>
      <w:pPr>
        <w:pStyle w:val="Heading2"/>
        <w:widowControl/>
        <w:tabs>
          <w:tab w:val="clear" w:pos="1800"/>
        </w:tabs>
        <w:ind w:firstLine="720" w:start="720" w:end="0"/>
        <w:rPr/>
      </w:pPr>
      <w:r>
        <w:rPr/>
        <w:t>(5)</w:t>
        <w:tab/>
        <w:t>For the purpose of this Section, payments received by either Party after 2:00 p.m. CPT shall be considered to have been paid on the following Business Day.</w:t>
      </w:r>
    </w:p>
    <w:p>
      <w:pPr>
        <w:pStyle w:val="Heading2"/>
        <w:widowControl/>
        <w:tabs>
          <w:tab w:val="clear" w:pos="1800"/>
        </w:tabs>
        <w:ind w:firstLine="720" w:start="720" w:end="0"/>
        <w:rPr/>
      </w:pPr>
      <w:r>
        <w:rPr/>
        <w:t>(6)</w:t>
        <w:tab/>
        <w:t>All references contained in this Agreement to $ or Dollars shall refer to the lawful currency of the United States of America.</w:t>
      </w:r>
    </w:p>
    <w:p>
      <w:pPr>
        <w:pStyle w:val="Heading2"/>
        <w:widowControl/>
        <w:tabs>
          <w:tab w:val="clear" w:pos="1800"/>
        </w:tabs>
        <w:ind w:hanging="0" w:end="0"/>
        <w:rPr/>
      </w:pPr>
      <w:r>
        <w:rPr/>
        <w:t>(c)</w:t>
        <w:tab/>
        <w:t xml:space="preserve">The Parties acknowledge that upon the expiration of the Term or termination of this Agreement, there may be one or more Structured Transactions directly between MDEA and a third party the term of which will continue beyond the expiration or termination of this Agreement.  In such event, MDEA agrees for those Structured Transactions in which EPMI is not the counterparty, in addition to the fees set forth above, to pay EPMI ten cents ($0.10) per MWh (or MWh equivalent) for all Products to be sold under such Structured Transactions and to be delivered following the expiration or termination of this Agreement until the expiration or termination of such Structured Transaction. The amounts due to EPMI shall be paid on or prior to the expiration or termination of this Agreement.  The fee payable by MDEA to EPMI shall be determined as follows: Product (expressed in MW or MW equivalent) stated in such Structured Transaction multiplied by the aggregate number of hours remaining in the term of such Structured Transaction (as of the expiration or termination of this Agreement) during which the Product is to be made available, times $0.10.  The amount so determined shall be reduced to a net present value amount by applying a discount factor of </w:t>
      </w:r>
      <w:r>
        <w:rPr>
          <w:b/>
        </w:rPr>
        <w:t xml:space="preserve">[?] </w:t>
      </w:r>
      <w:r>
        <w:rPr>
          <w:bCs/>
        </w:rPr>
        <w:t>(Discount Factor)</w:t>
      </w:r>
      <w:r>
        <w:rPr>
          <w:b/>
        </w:rPr>
        <w:t xml:space="preserve">.  </w:t>
      </w:r>
      <w:r>
        <w:rPr/>
        <w:t>Prior to executing any Structured Transaction which might extend beyond the Term of this Agreement, the Parties shall (using the foregoing methodology for calculation) agree upon how the fee to be paid to EPMI will be determined upon termination or expiration of this Agreement.  A sample calculation of the foregoing Structured Transaction fee payment set forth in this Section is as follows:</w:t>
      </w:r>
    </w:p>
    <w:p>
      <w:pPr>
        <w:pStyle w:val="DefaultText"/>
        <w:widowControl/>
        <w:tabs>
          <w:tab w:val="left" w:pos="720" w:leader="none"/>
          <w:tab w:val="left" w:pos="2340" w:leader="none"/>
          <w:tab w:val="left" w:pos="4500" w:leader="none"/>
          <w:tab w:val="left" w:pos="477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u w:val="single"/>
        </w:rPr>
        <w:t>Qualifying Structured Transaction</w:t>
      </w:r>
      <w:r>
        <w:rPr/>
        <w:t>:</w:t>
      </w:r>
    </w:p>
    <w:p>
      <w:pPr>
        <w:pStyle w:val="DefaultText"/>
        <w:widowControl/>
        <w:tabs>
          <w:tab w:val="left" w:pos="720" w:leader="none"/>
          <w:tab w:val="left" w:pos="2340" w:leader="none"/>
          <w:tab w:val="left" w:pos="4500" w:leader="none"/>
          <w:tab w:val="left" w:pos="477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tab/>
        <w:t>Capacity = 100 MW</w:t>
      </w:r>
    </w:p>
    <w:p>
      <w:pPr>
        <w:pStyle w:val="DefaultText"/>
        <w:widowControl/>
        <w:tabs>
          <w:tab w:val="left" w:pos="720" w:leader="none"/>
          <w:tab w:val="left" w:pos="2340" w:leader="none"/>
          <w:tab w:val="left" w:pos="4500" w:leader="none"/>
          <w:tab w:val="left" w:pos="477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tab/>
        <w:t>Term = 1/1/02 – 1/1/07 (5 year deal)</w:t>
      </w:r>
    </w:p>
    <w:p>
      <w:pPr>
        <w:pStyle w:val="DefaultText"/>
        <w:widowControl/>
        <w:tabs>
          <w:tab w:val="left" w:pos="720" w:leader="none"/>
          <w:tab w:val="left" w:pos="2340" w:leader="none"/>
          <w:tab w:val="left" w:pos="4500" w:leader="none"/>
          <w:tab w:val="left" w:pos="477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tab/>
        <w:t>Availability = 95%</w:t>
      </w:r>
    </w:p>
    <w:p>
      <w:pPr>
        <w:pStyle w:val="DefaultText"/>
        <w:widowControl/>
        <w:tabs>
          <w:tab w:val="left" w:pos="720" w:leader="none"/>
          <w:tab w:val="left" w:pos="2340" w:leader="none"/>
          <w:tab w:val="left" w:pos="4500" w:leader="none"/>
          <w:tab w:val="left" w:pos="477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tab/>
      </w:r>
      <w:r>
        <w:rPr>
          <w:i/>
          <w:iCs/>
        </w:rPr>
        <w:t>i</w:t>
      </w:r>
      <w:r>
        <w:rPr/>
        <w:t xml:space="preserve"> – the Discount Factor</w:t>
      </w:r>
    </w:p>
    <w:p>
      <w:pPr>
        <w:pStyle w:val="DefaultText"/>
        <w:widowControl/>
        <w:tabs>
          <w:tab w:val="left" w:pos="720" w:leader="none"/>
          <w:tab w:val="left" w:pos="2340" w:leader="none"/>
          <w:tab w:val="left" w:pos="4500" w:leader="none"/>
          <w:tab w:val="left" w:pos="477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u w:val="single"/>
        </w:rPr>
        <w:t>Assumption</w:t>
      </w:r>
      <w:r>
        <w:rPr/>
        <w:t>:  EMSA terminates 12/31/02</w:t>
      </w:r>
    </w:p>
    <w:p>
      <w:pPr>
        <w:pStyle w:val="DefaultText"/>
        <w:widowControl/>
        <w:tabs>
          <w:tab w:val="left" w:pos="720" w:leader="none"/>
          <w:tab w:val="left" w:pos="2340" w:leader="none"/>
          <w:tab w:val="left" w:pos="4500" w:leader="none"/>
          <w:tab w:val="left" w:pos="477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u w:val="single"/>
        </w:rPr>
        <w:t>Payment to EPMI</w:t>
      </w:r>
      <w:r>
        <w:rPr/>
        <w:t>:</w:t>
      </w:r>
    </w:p>
    <w:p>
      <w:pPr>
        <w:pStyle w:val="DefaultText"/>
        <w:widowControl/>
        <w:tabs>
          <w:tab w:val="left" w:pos="720" w:leader="none"/>
          <w:tab w:val="left" w:pos="1440" w:leader="none"/>
          <w:tab w:val="left" w:pos="2340" w:leader="none"/>
          <w:tab w:val="left" w:pos="4500" w:leader="none"/>
          <w:tab w:val="left" w:pos="4770" w:leader="none"/>
          <w:tab w:val="left" w:pos="5400" w:leader="none"/>
          <w:tab w:val="left" w:pos="621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t>2003:</w:t>
        <w:tab/>
        <w:t>=</w:t>
        <w:tab/>
        <w:t>(100 MW) (8760 Hrs/Yr) (0.95) ($0.10) (l/l+</w:t>
      </w:r>
      <w:r>
        <w:rPr>
          <w:i/>
        </w:rPr>
        <w:t>i</w:t>
      </w:r>
      <w:r>
        <w:rPr/>
        <w:t>)</w:t>
        <w:tab/>
        <w:t>= A</w:t>
      </w:r>
    </w:p>
    <w:p>
      <w:pPr>
        <w:pStyle w:val="DefaultText"/>
        <w:widowControl/>
        <w:tabs>
          <w:tab w:val="left" w:pos="720" w:leader="none"/>
          <w:tab w:val="left" w:pos="1440" w:leader="none"/>
          <w:tab w:val="left" w:pos="2340" w:leader="none"/>
          <w:tab w:val="left" w:pos="4500" w:leader="none"/>
          <w:tab w:val="left" w:pos="4770" w:leader="none"/>
          <w:tab w:val="left" w:pos="5400" w:leader="none"/>
          <w:tab w:val="left" w:pos="5940" w:leader="none"/>
          <w:tab w:val="left" w:pos="630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u w:val="single"/>
        </w:rPr>
      </w:pPr>
      <w:r>
        <w:rPr/>
        <w:t xml:space="preserve">2004: </w:t>
        <w:tab/>
        <w:t>=</w:t>
        <w:tab/>
        <w:t>(100 MW) (8760 Hrs/Yr) (0.95) ($0.10) (1/1+</w:t>
      </w:r>
      <w:r>
        <w:rPr>
          <w:i/>
          <w:iCs/>
        </w:rPr>
        <w:t>i</w:t>
      </w:r>
      <w:r>
        <w:rPr/>
        <w:t>)</w:t>
      </w:r>
      <w:r>
        <w:rPr>
          <w:vertAlign w:val="superscript"/>
        </w:rPr>
        <w:t>2</w:t>
        <w:tab/>
      </w:r>
      <w:r>
        <w:rPr/>
        <w:t>= B</w:t>
      </w:r>
    </w:p>
    <w:p>
      <w:pPr>
        <w:pStyle w:val="DefaultText"/>
        <w:widowControl/>
        <w:tabs>
          <w:tab w:val="left" w:pos="720" w:leader="none"/>
          <w:tab w:val="left" w:pos="1440" w:leader="none"/>
          <w:tab w:val="left" w:pos="2340" w:leader="none"/>
          <w:tab w:val="left" w:pos="4500" w:leader="none"/>
          <w:tab w:val="left" w:pos="4770" w:leader="none"/>
          <w:tab w:val="left" w:pos="5400" w:leader="none"/>
          <w:tab w:val="left" w:pos="5940" w:leader="none"/>
          <w:tab w:val="left" w:pos="630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t>2005:</w:t>
        <w:tab/>
        <w:t>=</w:t>
        <w:tab/>
        <w:t>(100 MW) (8760 Hrs/Yr.) (0.95) ($0.10) (1/1+</w:t>
      </w:r>
      <w:r>
        <w:rPr>
          <w:i/>
        </w:rPr>
        <w:t>i</w:t>
      </w:r>
      <w:r>
        <w:rPr/>
        <w:t>)</w:t>
      </w:r>
      <w:r>
        <w:rPr>
          <w:vertAlign w:val="superscript"/>
        </w:rPr>
        <w:t>3</w:t>
        <w:tab/>
      </w:r>
      <w:r>
        <w:rPr/>
        <w:t>= C</w:t>
      </w:r>
    </w:p>
    <w:p>
      <w:pPr>
        <w:pStyle w:val="DefaultText"/>
        <w:widowControl/>
        <w:tabs>
          <w:tab w:val="left" w:pos="720" w:leader="none"/>
          <w:tab w:val="left" w:pos="1440" w:leader="none"/>
          <w:tab w:val="left" w:pos="2340" w:leader="none"/>
          <w:tab w:val="left" w:pos="4500" w:leader="none"/>
          <w:tab w:val="left" w:pos="4770" w:leader="none"/>
          <w:tab w:val="left" w:pos="5400" w:leader="none"/>
          <w:tab w:val="left" w:pos="5940" w:leader="none"/>
          <w:tab w:val="left" w:pos="630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t>2006:</w:t>
        <w:tab/>
        <w:t>=</w:t>
        <w:tab/>
        <w:t>(100 MW) (8760 Hrs/Yr.) (0.95) ($0.10) (1/1+</w:t>
      </w:r>
      <w:r>
        <w:rPr>
          <w:i/>
        </w:rPr>
        <w:t>i</w:t>
      </w:r>
      <w:r>
        <w:rPr/>
        <w:t>)</w:t>
      </w:r>
      <w:r>
        <w:rPr>
          <w:vertAlign w:val="superscript"/>
        </w:rPr>
        <w:t>4</w:t>
      </w:r>
      <w:r>
        <w:rPr/>
        <w:tab/>
        <w:t>= D</w:t>
      </w:r>
    </w:p>
    <w:p>
      <w:pPr>
        <w:pStyle w:val="DefaultText"/>
        <w:widowControl/>
        <w:tabs>
          <w:tab w:val="left" w:pos="720" w:leader="none"/>
          <w:tab w:val="left" w:pos="1440" w:leader="none"/>
          <w:tab w:val="left" w:pos="2340" w:leader="none"/>
          <w:tab w:val="left" w:pos="4500" w:leader="none"/>
          <w:tab w:val="left" w:pos="4770" w:leader="none"/>
          <w:tab w:val="left" w:pos="5400" w:leader="none"/>
          <w:tab w:val="left" w:pos="5940" w:leader="none"/>
          <w:tab w:val="left" w:pos="630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t>Fee payable on 12/31/02 = A+B+C+D</w:t>
      </w:r>
    </w:p>
    <w:p>
      <w:pPr>
        <w:pStyle w:val="Heading2"/>
        <w:widowControl/>
        <w:tabs>
          <w:tab w:val="clear" w:pos="1800"/>
        </w:tabs>
        <w:ind w:hanging="0" w:end="0"/>
        <w:rPr/>
      </w:pPr>
      <w:r>
        <w:rPr/>
      </w:r>
    </w:p>
    <w:p>
      <w:pPr>
        <w:pStyle w:val="Heading1"/>
        <w:widowControl/>
        <w:tabs>
          <w:tab w:val="clear" w:pos="360"/>
        </w:tabs>
        <w:ind w:hanging="0" w:start="0"/>
        <w:rPr>
          <w:b/>
        </w:rPr>
      </w:pPr>
      <w:r>
        <w:rPr>
          <w:b/>
        </w:rPr>
        <w:t>17.</w:t>
        <w:tab/>
        <w:t>DEFAULT AND REMEDIES UPON DEFAULT</w:t>
      </w:r>
    </w:p>
    <w:p>
      <w:pPr>
        <w:pStyle w:val="Heading2"/>
        <w:widowControl/>
        <w:tabs>
          <w:tab w:val="clear" w:pos="1800"/>
        </w:tabs>
        <w:ind w:firstLine="720" w:end="0"/>
        <w:rPr/>
      </w:pPr>
      <w:r>
        <w:rPr/>
        <w:t>(a)</w:t>
        <w:tab/>
        <w:t xml:space="preserve">Each of the following shall constitute an Event of Default under this Agreement: </w:t>
      </w:r>
    </w:p>
    <w:p>
      <w:pPr>
        <w:pStyle w:val="Heading2"/>
        <w:widowControl/>
        <w:tabs>
          <w:tab w:val="clear" w:pos="1800"/>
        </w:tabs>
        <w:ind w:firstLine="720" w:start="720" w:end="0"/>
        <w:rPr/>
      </w:pPr>
      <w:r>
        <w:rPr/>
        <w:t>(1)</w:t>
        <w:tab/>
        <w:t>The failure of either Party to make any payment or perform any obligation as required under this Agreement, including the adherence to the Marketing Strategy, Trading and Risk Policy, or Fuel Management Plan.  Event of Default shall not include a delay in payment that is subject to a Dispute under Section 21;</w:t>
      </w:r>
    </w:p>
    <w:p>
      <w:pPr>
        <w:pStyle w:val="Heading2"/>
        <w:widowControl/>
        <w:tabs>
          <w:tab w:val="clear" w:pos="1800"/>
        </w:tabs>
        <w:ind w:firstLine="720" w:start="720" w:end="0"/>
        <w:rPr/>
      </w:pPr>
      <w:r>
        <w:rPr/>
        <w:t>(2)</w:t>
        <w:tab/>
        <w:t>[Intentionally Deleted]</w:t>
      </w:r>
    </w:p>
    <w:p>
      <w:pPr>
        <w:pStyle w:val="Heading2"/>
        <w:widowControl/>
        <w:tabs>
          <w:tab w:val="clear" w:pos="1800"/>
        </w:tabs>
        <w:ind w:firstLine="720" w:start="720" w:end="0"/>
        <w:rPr/>
      </w:pPr>
      <w:r>
        <w:rPr/>
        <w:t>(3)</w:t>
        <w:tab/>
        <w:t>EPMI or MDEA fails to meet the performance standards set forth in Section 8;</w:t>
      </w:r>
    </w:p>
    <w:p>
      <w:pPr>
        <w:pStyle w:val="Heading2"/>
        <w:widowControl/>
        <w:tabs>
          <w:tab w:val="clear" w:pos="1800"/>
        </w:tabs>
        <w:ind w:firstLine="720" w:start="720" w:end="0"/>
        <w:rPr/>
      </w:pPr>
      <w:r>
        <w:rPr/>
        <w:t>(4)</w:t>
        <w:tab/>
        <w:t>EPMI or MDEA fails to keep and maintain the Financial Security required under this Agreement;</w:t>
      </w:r>
    </w:p>
    <w:p>
      <w:pPr>
        <w:pStyle w:val="Heading3"/>
        <w:widowControl/>
        <w:tabs>
          <w:tab w:val="clear" w:pos="2520"/>
        </w:tabs>
        <w:ind w:start="720" w:end="0"/>
        <w:rPr/>
      </w:pPr>
      <w:r>
        <w:rPr/>
        <w:t>(5)</w:t>
        <w:tab/>
        <w:t>The filing by either Party of a bankruptcy petition or acquiescence by either Party in the filing of a bankruptcy petition by any other person against either Party;</w:t>
      </w:r>
    </w:p>
    <w:p>
      <w:pPr>
        <w:pStyle w:val="Heading3"/>
        <w:widowControl/>
        <w:tabs>
          <w:tab w:val="clear" w:pos="2520"/>
        </w:tabs>
        <w:ind w:start="720" w:end="0"/>
        <w:rPr/>
      </w:pPr>
      <w:r>
        <w:rPr/>
        <w:t>(6)</w:t>
        <w:tab/>
        <w:t xml:space="preserve">The filing of an involuntary bankruptcy petition against either Party;  </w:t>
      </w:r>
    </w:p>
    <w:p>
      <w:pPr>
        <w:pStyle w:val="Heading3"/>
        <w:widowControl/>
        <w:tabs>
          <w:tab w:val="clear" w:pos="2520"/>
        </w:tabs>
        <w:ind w:start="720" w:end="0"/>
        <w:rPr/>
      </w:pPr>
      <w:r>
        <w:rPr/>
        <w:t>(7)</w:t>
        <w:tab/>
        <w:t>The making by either Party of a general assignment for the benefit of its creditors (other than a collateral assignment for financing purposes);</w:t>
      </w:r>
    </w:p>
    <w:p>
      <w:pPr>
        <w:pStyle w:val="Heading3"/>
        <w:widowControl/>
        <w:tabs>
          <w:tab w:val="clear" w:pos="2520"/>
        </w:tabs>
        <w:ind w:start="720" w:end="0"/>
        <w:rPr/>
      </w:pPr>
      <w:r>
        <w:rPr/>
        <w:t>(8)</w:t>
        <w:tab/>
        <w:t>The dissolution or liquidation of either Party or the passage of a resolution requiring the dissolution or liquidation of either Party in each case involving a winding up of the business of such Party; provided, however, that any such dissolution or liquidation pursuant to a consolidation, acquisition, amalgamation or merger involving either Party consented to by the other Party shall not be deemed an Event of Default hereunder;</w:t>
      </w:r>
    </w:p>
    <w:p>
      <w:pPr>
        <w:pStyle w:val="Heading3"/>
        <w:widowControl/>
        <w:tabs>
          <w:tab w:val="clear" w:pos="2520"/>
        </w:tabs>
        <w:ind w:start="720" w:end="0"/>
        <w:rPr/>
      </w:pPr>
      <w:r>
        <w:rPr/>
        <w:t>(9)</w:t>
        <w:tab/>
        <w:t xml:space="preserve">The transfer of all or substantially all of the assets of either Party, the merger of either Party with any other person or the consolidation of either Party with any other person (i) which causes a material adverse change in the financial condition of such Party or (ii) pursuant to which the entity existing after the transfer, merger or consolidation does not assume the obligations of such Party by operation of law or otherwise; </w:t>
      </w:r>
    </w:p>
    <w:p>
      <w:pPr>
        <w:pStyle w:val="Heading3"/>
        <w:widowControl/>
        <w:tabs>
          <w:tab w:val="clear" w:pos="2520"/>
        </w:tabs>
        <w:ind w:start="720" w:end="0"/>
        <w:rPr/>
      </w:pPr>
      <w:r>
        <w:rPr/>
        <w:t>(10)</w:t>
        <w:tab/>
        <w:t xml:space="preserve">The making of a materially incorrect or misleading representation or failure to maintain any warranty under this Agreement; </w:t>
      </w:r>
    </w:p>
    <w:p>
      <w:pPr>
        <w:pStyle w:val="Normal"/>
        <w:ind w:firstLine="720" w:start="720" w:end="0"/>
        <w:rPr/>
      </w:pPr>
      <w:r>
        <w:rPr/>
        <w:t xml:space="preserve">(11) </w:t>
        <w:tab/>
        <w:t>The breach of any obligation on the part of either Party under the MPPSA, and after due notice under such agreement, the breach remains uncured; and</w:t>
      </w:r>
    </w:p>
    <w:p>
      <w:pPr>
        <w:pStyle w:val="Normal"/>
        <w:ind w:firstLine="720" w:start="720" w:end="0"/>
        <w:rPr/>
      </w:pPr>
      <w:r>
        <w:rPr/>
        <w:t>(12)</w:t>
        <w:tab/>
        <w:t>The failure of any parent or guarantor to make any required payment or the  (a) bankruptcy, (b) liquidation, or (c) consolidation of any parent or guarantor which thus renders any Financial Security under this Agreement unavailable or unenforceable.</w:t>
      </w:r>
    </w:p>
    <w:p>
      <w:pPr>
        <w:pStyle w:val="Heading2"/>
        <w:widowControl/>
        <w:tabs>
          <w:tab w:val="clear" w:pos="1800"/>
        </w:tabs>
        <w:ind w:firstLine="720" w:end="0"/>
        <w:rPr/>
      </w:pPr>
      <w:r>
        <w:rPr/>
        <w:t>(b)</w:t>
        <w:tab/>
        <w:t xml:space="preserve">Upon an Event of Default, the Party not in default (Performing Party) may take one or more of the following actions with respect to the Party in default (Defaulting Party): </w:t>
      </w:r>
    </w:p>
    <w:p>
      <w:pPr>
        <w:pStyle w:val="Heading3"/>
        <w:widowControl/>
        <w:tabs>
          <w:tab w:val="clear" w:pos="2520"/>
        </w:tabs>
        <w:ind w:start="720" w:end="0"/>
        <w:rPr/>
      </w:pPr>
      <w:r>
        <w:rPr/>
        <w:t>(1)</w:t>
        <w:tab/>
        <w:t>In the event that EPMI is the Defaulting Party, MDEA, as the Performing Party, may take one or more of the following actions:</w:t>
      </w:r>
    </w:p>
    <w:p>
      <w:pPr>
        <w:pStyle w:val="Heading4"/>
        <w:widowControl/>
        <w:numPr>
          <w:ilvl w:val="0"/>
          <w:numId w:val="20"/>
        </w:numPr>
        <w:tabs>
          <w:tab w:val="clear" w:pos="3240"/>
        </w:tabs>
        <w:ind w:firstLine="720" w:start="1440" w:end="0"/>
        <w:rPr/>
      </w:pPr>
      <w:r>
        <w:rPr/>
        <w:t>Withhold or suspend its obligations under this Agreement; or</w:t>
      </w:r>
    </w:p>
    <w:p>
      <w:pPr>
        <w:pStyle w:val="Normal"/>
        <w:numPr>
          <w:ilvl w:val="0"/>
          <w:numId w:val="20"/>
        </w:numPr>
        <w:tabs>
          <w:tab w:val="clear" w:pos="720"/>
        </w:tabs>
        <w:ind w:firstLine="720" w:start="1440" w:end="0"/>
        <w:rPr/>
      </w:pPr>
      <w:r>
        <w:rPr/>
        <w:t>Terminate this Agreement under Section 18.</w:t>
      </w:r>
    </w:p>
    <w:p>
      <w:pPr>
        <w:pStyle w:val="Heading3"/>
        <w:widowControl/>
        <w:tabs>
          <w:tab w:val="clear" w:pos="2520"/>
        </w:tabs>
        <w:ind w:start="720" w:end="0"/>
        <w:rPr/>
      </w:pPr>
      <w:r>
        <w:rPr/>
        <w:t>(2)</w:t>
        <w:tab/>
        <w:t>In the event that MDEA is the Defaulting Party , EPMI, as the Performing Party, may take one or more of the following actions:</w:t>
      </w:r>
    </w:p>
    <w:p>
      <w:pPr>
        <w:pStyle w:val="Heading4"/>
        <w:widowControl/>
        <w:numPr>
          <w:ilvl w:val="0"/>
          <w:numId w:val="17"/>
        </w:numPr>
        <w:tabs>
          <w:tab w:val="clear" w:pos="3240"/>
        </w:tabs>
        <w:ind w:firstLine="720" w:start="1440" w:end="0"/>
        <w:rPr/>
      </w:pPr>
      <w:r>
        <w:rPr/>
        <w:t>Terminate this Agreement under Section 18; or</w:t>
      </w:r>
    </w:p>
    <w:p>
      <w:pPr>
        <w:pStyle w:val="Normal"/>
        <w:numPr>
          <w:ilvl w:val="0"/>
          <w:numId w:val="17"/>
        </w:numPr>
        <w:tabs>
          <w:tab w:val="clear" w:pos="720"/>
        </w:tabs>
        <w:ind w:firstLine="720" w:start="1440" w:end="0"/>
        <w:rPr/>
      </w:pPr>
      <w:r>
        <w:rPr/>
        <w:t>Withhold or suspend its obligations under this Agreement.</w:t>
      </w:r>
    </w:p>
    <w:p>
      <w:pPr>
        <w:pStyle w:val="Heading3"/>
        <w:widowControl/>
        <w:tabs>
          <w:tab w:val="clear" w:pos="2520"/>
        </w:tabs>
        <w:ind w:start="720" w:end="0"/>
        <w:rPr/>
      </w:pPr>
      <w:r>
        <w:rPr/>
        <w:t>(3)</w:t>
        <w:tab/>
        <w:t xml:space="preserve">No delay or failure on the part of a Performing Party to exercise any right or remedy to which it may become entitled on account of an Event of Default shall constitute a waiver of any such right and the Performing Party shall be entitled to exercise such right or remedy at any time during the continuance of an Event of Default.  Any waiver by a Party of an Event of Default of the other Party shall be in writing.  </w:t>
      </w:r>
    </w:p>
    <w:p>
      <w:pPr>
        <w:pStyle w:val="Normal"/>
        <w:rPr>
          <w:b/>
        </w:rPr>
      </w:pPr>
      <w:r>
        <w:rPr>
          <w:b/>
        </w:rPr>
        <w:t>18.</w:t>
        <w:tab/>
        <w:t>TERMINATION</w:t>
      </w:r>
    </w:p>
    <w:p>
      <w:pPr>
        <w:pStyle w:val="Normal"/>
        <w:ind w:firstLine="720" w:end="0"/>
        <w:rPr/>
      </w:pPr>
      <w:r>
        <w:rPr/>
        <w:t>If an Event of Default occurs, either Party shall be entitled to terminate this Agreement in the event that such Event of Default is not cured in the manner set forth below:</w:t>
      </w:r>
    </w:p>
    <w:p>
      <w:pPr>
        <w:pStyle w:val="Normal"/>
        <w:rPr/>
      </w:pPr>
      <w:r>
        <w:rPr/>
        <w:tab/>
        <w:t>(a)</w:t>
        <w:tab/>
        <w:t>Following any Event of Default, the Performing Party, at its option, may declare an Event of Default under this Agreement and provide the Defaulting Party with written notice to cure such Default or take such other reasonable action as is necessary to cure such Event of Default.</w:t>
      </w:r>
    </w:p>
    <w:p>
      <w:pPr>
        <w:pStyle w:val="Normal"/>
        <w:rPr/>
      </w:pPr>
      <w:r>
        <w:rPr/>
        <w:tab/>
        <w:t>(b)</w:t>
        <w:tab/>
        <w:t>Upon receipt of such written notice of an Event of Default, the Defaulting Party shall have thirty (30) days within which to cure such Event of Default, except for an Event of Default under Sections 17(a)(4), (5), (7), (8), (9), (11) or (12) or for failure to pay moneys due under this Agreement (these Events of Default are collectively referred to herein as Financial Events of Default).</w:t>
      </w:r>
    </w:p>
    <w:p>
      <w:pPr>
        <w:pStyle w:val="BodyTextFirstIndent"/>
        <w:widowControl w:val="false"/>
        <w:spacing w:before="120" w:after="120"/>
        <w:rPr/>
      </w:pPr>
      <w:r>
        <w:rPr/>
        <w:t>(c)</w:t>
        <w:tab/>
        <w:t>If the Defaulting Party fails to cure any Event of Default which is not a Financial Event of Default (i) in thirty (30) days, or (ii) if such Event of Default cannot be completely overcome in such period (except for an Event of Default under Section 17(a)(6)), to take reasonable steps to cure such Event of Default and thereafter diligently pursue such cure to completion, then the Performing Party shall be entitled to terminate this Agreement at any time thereafter.</w:t>
      </w:r>
    </w:p>
    <w:p>
      <w:pPr>
        <w:pStyle w:val="Normal"/>
        <w:rPr/>
      </w:pPr>
      <w:r>
        <w:rPr/>
        <w:tab/>
        <w:t>(d)</w:t>
        <w:tab/>
        <w:t>If the Event of Default is a Financial Event of Default, then the Performing Party may, at its election, provide three (3) Business Days written notice to the Defaulting Party to cure such Event of Default.  If such Financial Event of Default is not cured within such three (3) Business Day period, then the Performing Party shall be entitled to terminate this Agreement.</w:t>
      </w:r>
    </w:p>
    <w:p>
      <w:pPr>
        <w:pStyle w:val="Normal"/>
        <w:ind w:firstLine="720" w:end="0"/>
        <w:rPr/>
      </w:pPr>
      <w:r>
        <w:rPr/>
        <w:t>(e)</w:t>
        <w:tab/>
        <w:t>If this Agreement is terminated and the termination is effective as of a date other than December 31</w:t>
      </w:r>
      <w:r>
        <w:rPr>
          <w:vertAlign w:val="superscript"/>
        </w:rPr>
        <w:t>st</w:t>
      </w:r>
      <w:r>
        <w:rPr/>
        <w:t xml:space="preserve"> of a given year, the annual fee of $50,000.00 shall be prorated pursuant to Section 16(b)(1) and the incentive fee shall be calculated as set forth on Schedule 2.</w:t>
      </w:r>
    </w:p>
    <w:p>
      <w:pPr>
        <w:pStyle w:val="Normal"/>
        <w:rPr>
          <w:b/>
        </w:rPr>
      </w:pPr>
      <w:r>
        <w:rPr>
          <w:b/>
        </w:rPr>
      </w:r>
    </w:p>
    <w:p>
      <w:pPr>
        <w:pStyle w:val="Normal"/>
        <w:rPr>
          <w:b/>
        </w:rPr>
      </w:pPr>
      <w:r>
        <w:rPr>
          <w:b/>
        </w:rPr>
      </w:r>
    </w:p>
    <w:p>
      <w:pPr>
        <w:pStyle w:val="Heading1"/>
        <w:keepNext w:val="true"/>
        <w:keepLines/>
        <w:widowControl/>
        <w:tabs>
          <w:tab w:val="clear" w:pos="360"/>
        </w:tabs>
        <w:ind w:hanging="0" w:start="0"/>
        <w:rPr>
          <w:b/>
        </w:rPr>
      </w:pPr>
      <w:r>
        <w:rPr>
          <w:b/>
        </w:rPr>
        <w:t>19.</w:t>
        <w:tab/>
        <w:t>INDEMNIFICATION; LIMITATION ON DAMAGES</w:t>
      </w:r>
    </w:p>
    <w:p>
      <w:pPr>
        <w:pStyle w:val="Heading2"/>
        <w:widowControl/>
        <w:numPr>
          <w:ilvl w:val="0"/>
          <w:numId w:val="8"/>
        </w:numPr>
        <w:tabs>
          <w:tab w:val="clear" w:pos="1800"/>
        </w:tabs>
        <w:ind w:firstLine="720" w:start="0" w:end="0"/>
        <w:rPr/>
      </w:pPr>
      <w:r>
        <w:rPr/>
        <w:t xml:space="preserve">EPMI shall indemnify, defend and hold MDEA, and all of MDEA’s directors, employees, agents, affiliates and permitted assigns, harmless from and against all claims, losses, liabilities, damages, judgments, awards, fines, penalties, costs and expenses (including reasonable attorneys’ fees and disbursements) directly incurred in connection with or directly arising out of (i) any violation of applicable law, regulation or order by EPMI and (ii) third party payment risk, including credit and collection risk (Counterparty Credit Risk) under any Back-to-Back Transaction by EPMI in connection with this Agreement.  </w:t>
      </w:r>
    </w:p>
    <w:p>
      <w:pPr>
        <w:pStyle w:val="Heading2"/>
        <w:widowControl/>
        <w:numPr>
          <w:ilvl w:val="0"/>
          <w:numId w:val="8"/>
        </w:numPr>
        <w:tabs>
          <w:tab w:val="clear" w:pos="1800"/>
        </w:tabs>
        <w:ind w:firstLine="720" w:start="0" w:end="0"/>
        <w:rPr/>
      </w:pPr>
      <w:r>
        <w:rPr/>
        <w:t xml:space="preserve">MDEA shall indemnify, defend and hold EPMI, and all of EPMI’s directors, employees, agents, affiliates and permitted assigns, harmless from and against all claims, losses, liabilities, damages, judgments, awards, fines, penalties, costs and expenses (including reasonable attorneys’ fees and disbursements) directly incurred in connection with or directly arising out of (i) any violation of applicable law, regulation or order by MDEA, (ii) any Structured Transaction or Existing Transaction; (iii) any Costs and Existing Transaction Costs and (iv) any third party claims arising from MDEA’s ownership or operation of the Facilities. </w:t>
      </w:r>
    </w:p>
    <w:p>
      <w:pPr>
        <w:pStyle w:val="NormalIndent"/>
        <w:widowControl/>
        <w:ind w:firstLine="720" w:end="0"/>
        <w:rPr/>
      </w:pPr>
      <w:r>
        <w:rPr/>
        <w:t>(c)</w:t>
        <w:tab/>
        <w:t>Except as otherwise expressly set forth in this Agreement, EPMI DISCLAIMS ALL OTHER WARRANTIES, EXPRESS OR IMPLIED, IN FACT OR BY OPERATION OF LAW OR OTHERWISE DERIVED FROM THIS AGREEMENT, ANY OF THE SCHEDULES ATTACHED HERETO OR IN ANY OTHER MATERIALS, BROCHURES, PRESENTATIONS OR OTHER DOCUMENTS OR COMMUNICATIONS WHETHER ORAL OR WRITTEN, INCLUDING WITHOUT LIMITATION IMPLIED WARRANTIES OF MERCHANTABILITY OR FITNESS FOR A PARTICULAR PURPOSE.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IN THE AGREEMENT,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pPr>
        <w:pStyle w:val="NormalIndent"/>
        <w:widowControl/>
        <w:ind w:firstLine="720" w:end="0"/>
        <w:rPr/>
      </w:pPr>
      <w:r>
        <w:rPr/>
        <w:t>(d)</w:t>
        <w:tab/>
        <w:t>Notwithstanding anything contained herein to the contrary, under no circumstance shall EPMI’s liability under this Agreement (excluding (i) EPMI’s obligation to remit the  Net Proceeds to MDEA pursuant to Section 16 hereof, (ii) EPMI’s obligation  to indemnify MDEA pursuant to Section 19(a) and (iii) liability associated with EPMI’s gross negligence or willful misconduct in incurring Costs under this Agreement) exceed the fees payable to EPMI pursuant to Section 16(b) hereof.</w:t>
      </w:r>
    </w:p>
    <w:p>
      <w:pPr>
        <w:pStyle w:val="NormalIndent"/>
        <w:widowControl/>
        <w:ind w:firstLine="720" w:end="0"/>
        <w:rPr/>
      </w:pPr>
      <w:r>
        <w:rPr/>
        <w:t xml:space="preserve"> </w:t>
      </w:r>
    </w:p>
    <w:p>
      <w:pPr>
        <w:pStyle w:val="NormalIndent"/>
        <w:widowControl/>
        <w:ind w:hanging="0" w:end="0"/>
        <w:rPr>
          <w:b/>
        </w:rPr>
      </w:pPr>
      <w:r>
        <w:rPr>
          <w:b/>
        </w:rPr>
        <w:t>20.</w:t>
        <w:tab/>
        <w:t>BOOKS AND RECORDS - AUDIT RIGHTS</w:t>
      </w:r>
    </w:p>
    <w:p>
      <w:pPr>
        <w:pStyle w:val="Heading2"/>
        <w:widowControl/>
        <w:tabs>
          <w:tab w:val="clear" w:pos="1800"/>
        </w:tabs>
        <w:ind w:firstLine="720" w:end="0"/>
        <w:rPr/>
      </w:pPr>
      <w:r>
        <w:rPr/>
        <w:t>(a)</w:t>
        <w:tab/>
        <w:t xml:space="preserve">EPMI shall maintain precise and distinguishable books and records in accordance with GAAP applied in a consistent manner with respect to all Back-to-Back Transactions and EPMI’s obligations under this Agreement (together with all Costs, including Fuel Costs, attributable to Transactions).  An independent auditor reasonably acceptable to EPMI shall (following execution of a confidentiality agreement in form and substance reasonably acceptable to EPMI) be entitled to audit all books and records kept and maintained by EPMI specifically relating to such Transactions and EPMI’s obligations under this Agreement at any time upon reasonable notice to EPMI.  To the extent legally permitted, EPMI shall also provide MDEA’s independent auditor with copies of any Confirmations and all information reasonably related to all Transactions to allow the independent auditor to verify the accuracy of any statement provided by EPMI under this Agreement. </w:t>
      </w:r>
      <w:r>
        <w:rPr>
          <w:b/>
        </w:rPr>
        <w:t xml:space="preserve"> </w:t>
      </w:r>
      <w:r>
        <w:rPr/>
        <w:t>EPMI shall be entitled  to audit all books and records kept and maintained by MDEA relating to any Structured Transactions and the other books and records relating to the operation of the Facilities.</w:t>
      </w:r>
    </w:p>
    <w:p>
      <w:pPr>
        <w:pStyle w:val="Heading2"/>
        <w:widowControl/>
        <w:tabs>
          <w:tab w:val="clear" w:pos="1800"/>
        </w:tabs>
        <w:ind w:firstLine="720" w:end="0"/>
        <w:rPr/>
      </w:pPr>
      <w:r>
        <w:rPr/>
        <w:t>(b)</w:t>
        <w:tab/>
        <w:t>If, as a result of any audit, it is determined that actual amounts paid were less than the amounts due and payable to MDEA as Net Proceeds from all Transactions, or otherwise due to MDEA by EPMI, by an amount in excess of one-quarter of one percent (1/4%) of actual Net Proceeds, then EPMI shall bear the costs of such audit, otherwise, MDEA shall bear the costs of the audit.  Any amounts determined to be due either Party as a result of the audit shall be paid within thirty (30) days of the date of the audit report, or shall accrue interest thereafter at the Interest Rate until paid.  Any dispute that arises with respect to discrepancies from any audit which the Parties are unable to resolve between themselves, shall be resolved under Section 21.</w:t>
      </w:r>
    </w:p>
    <w:p>
      <w:pPr>
        <w:pStyle w:val="Heading1"/>
        <w:widowControl/>
        <w:tabs>
          <w:tab w:val="clear" w:pos="360"/>
        </w:tabs>
        <w:ind w:hanging="0" w:start="0"/>
        <w:rPr>
          <w:b/>
        </w:rPr>
      </w:pPr>
      <w:r>
        <w:rPr>
          <w:b/>
        </w:rPr>
        <w:t>21.</w:t>
        <w:tab/>
        <w:t>DISPUTE RESOLUTION</w:t>
      </w:r>
    </w:p>
    <w:p>
      <w:pPr>
        <w:pStyle w:val="Heading2"/>
        <w:widowControl/>
        <w:tabs>
          <w:tab w:val="clear" w:pos="1800"/>
        </w:tabs>
        <w:ind w:firstLine="720" w:end="0"/>
        <w:rPr/>
      </w:pPr>
      <w:r>
        <w:rPr/>
        <w:t>(a)</w:t>
        <w:tab/>
        <w:t xml:space="preserve">In the event of any dispute arising under this Agreement or with respect to compliance with the Marketing Strategy, Trading and Risk Policy or Fuel Management Plan, the Parties shall refer such dispute to their respective senior managers and a representative of each Party’s senior management shall thereafter attempt to resolve such dispute through good faith negotiation during a period not to exceed fifteen (15) days.  </w:t>
      </w:r>
    </w:p>
    <w:p>
      <w:pPr>
        <w:pStyle w:val="Heading2"/>
        <w:widowControl/>
        <w:tabs>
          <w:tab w:val="clear" w:pos="1800"/>
        </w:tabs>
        <w:ind w:firstLine="720" w:end="0"/>
        <w:rPr/>
      </w:pPr>
      <w:r>
        <w:rPr/>
        <w:t>(b)</w:t>
        <w:tab/>
        <w:t xml:space="preserve">If the Parties cannot reach an informal resolution consistent with Section 21(a), then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w:t>
      </w:r>
      <w:r>
        <w:rPr>
          <w:u w:val="single"/>
        </w:rPr>
        <w:t>Article 21</w:t>
      </w:r>
      <w:r>
        <w:rPr/>
        <w:t xml:space="preserve"> only, collectively the Claims), even though some or all of such Claims allegedly are extra-contractual in nature, whether such Claims sound in contract, tort, or otherwise (subject only to the provisions of Annex A dealing with any Interpretive Dispute (as defined therein)),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  The fact that arbitration is or may be allowed will not impair the exercise of any termination right under this Agreement. In connection with such arbitration, each Party shall bear its own costs and fees, including, but not limited to attorneys' fees, and its share of any arbitration fees.  </w:t>
      </w:r>
    </w:p>
    <w:p>
      <w:pPr>
        <w:pStyle w:val="Heading1"/>
        <w:widowControl/>
        <w:tabs>
          <w:tab w:val="clear" w:pos="360"/>
        </w:tabs>
        <w:ind w:hanging="0" w:start="0"/>
        <w:rPr>
          <w:b/>
        </w:rPr>
      </w:pPr>
      <w:r>
        <w:rPr>
          <w:b/>
        </w:rPr>
        <w:t>22.</w:t>
        <w:tab/>
        <w:t>ASSIGNMENT</w:t>
      </w:r>
    </w:p>
    <w:p>
      <w:pPr>
        <w:pStyle w:val="Heading2"/>
        <w:widowControl/>
        <w:tabs>
          <w:tab w:val="clear" w:pos="1800"/>
        </w:tabs>
        <w:ind w:firstLine="720" w:end="0"/>
        <w:rPr/>
      </w:pPr>
      <w:r>
        <w:rPr/>
        <w:t xml:space="preserve">The rights and obligations created by this Agreement shall inure to the benefit of, and be binding upon the successors and permitted assigns of the respective Parties.  A Party is not permitted to assign its rights and obligations under this Agreement without the prior written consent of the other party; provided, however, (i) MDEA may assign this Agreement as collateral for financing purposes and EPMI agrees to execute any and all documents reasonably requested by MDEA or the Financial Parties to consent to such assignment and (ii) EPMI may assign this Agreement to one of its affiliates.  However, no assignment shall relieve either Party of its obligations under this Agreement unless the other Party has expressly agreed otherwise.  For purposes hereof, (i) the transfer of the ownership or voting rights in a controlling interest of the voting stock of a Party (if such Party is a corporation), (ii) the transfer of a general partnership interest or the transfer of twenty five percent (25%) of the limited partnership interests in a Party (if such Party is a limited partnership), (iii) the merger or consolidation of a Party with or into another corporation or entity or (iv) a sale or transfer of fifty percent (50%) or more of a Party’s assets, at any time during the Term of this Agreement shall be deemed an assignment of this Agreement.  Furthermore, MDEA shall be entitled to convey a security interest in this Agreement, or the Net Proceeds to the Financing Parties to secure any and all obligations of MDEA.  </w:t>
      </w:r>
    </w:p>
    <w:p>
      <w:pPr>
        <w:pStyle w:val="Heading1"/>
        <w:widowControl/>
        <w:tabs>
          <w:tab w:val="clear" w:pos="360"/>
        </w:tabs>
        <w:ind w:hanging="0" w:start="0"/>
        <w:rPr>
          <w:b/>
        </w:rPr>
      </w:pPr>
      <w:r>
        <w:rPr>
          <w:b/>
        </w:rPr>
        <w:t>23.</w:t>
        <w:tab/>
        <w:t>SURVIVAL OF PROVISIONS</w:t>
      </w:r>
    </w:p>
    <w:p>
      <w:pPr>
        <w:pStyle w:val="NormalIndent"/>
        <w:widowControl/>
        <w:ind w:firstLine="720" w:end="0"/>
        <w:rPr/>
      </w:pPr>
      <w:r>
        <w:rPr/>
        <w:t>Sections 8, 16, 19, 20, 21, 25 and 32</w:t>
      </w:r>
      <w:r>
        <w:rPr>
          <w:b/>
        </w:rPr>
        <w:t xml:space="preserve"> </w:t>
      </w:r>
      <w:r>
        <w:rPr/>
        <w:t xml:space="preserve">of this Agreement shall continue in effect after termination of this Agreement to the extent necessary to provide for final adjustments and disposition of any claims outstanding, including any such claims arising under Section 17 of this Agreement. </w:t>
      </w:r>
    </w:p>
    <w:p>
      <w:pPr>
        <w:pStyle w:val="Heading1"/>
        <w:widowControl/>
        <w:tabs>
          <w:tab w:val="clear" w:pos="360"/>
        </w:tabs>
        <w:ind w:hanging="0" w:start="0"/>
        <w:rPr>
          <w:b/>
        </w:rPr>
      </w:pPr>
      <w:r>
        <w:rPr>
          <w:b/>
        </w:rPr>
        <w:t>24.</w:t>
        <w:tab/>
        <w:t>SEVERABILITY OF PROVISIONS</w:t>
      </w:r>
    </w:p>
    <w:p>
      <w:pPr>
        <w:pStyle w:val="NormalIndent"/>
        <w:widowControl/>
        <w:ind w:firstLine="720" w:end="0"/>
        <w:rPr/>
      </w:pPr>
      <w:r>
        <w:rPr/>
        <w:t>A ruling by any court or government agency having jurisdiction that any provision of this Agreement is invalid shall not result in invalidation of the entire Agreement, but all remaining terms shall remain in full force and effect</w:t>
      </w:r>
      <w:r>
        <w:rPr>
          <w:b/>
        </w:rPr>
        <w:t xml:space="preserve"> </w:t>
      </w:r>
      <w:r>
        <w:rPr/>
        <w:t>and shall not be affected by the illegal, invalid or unenforceable provision or by its severance from this Agreement.  Furthermore, in lieu of such illegal, invalid or unenforceable provision, there shall be automatically as part of this Agreement, a provision as similar in terms to such illegal, invalid or unenforceable provision as may be possible and be legal, valid and enforceable.</w:t>
      </w:r>
    </w:p>
    <w:p>
      <w:pPr>
        <w:pStyle w:val="Heading1"/>
        <w:keepNext w:val="true"/>
        <w:widowControl/>
        <w:tabs>
          <w:tab w:val="clear" w:pos="360"/>
        </w:tabs>
        <w:ind w:hanging="0" w:start="0"/>
        <w:rPr>
          <w:b/>
        </w:rPr>
      </w:pPr>
      <w:r>
        <w:rPr>
          <w:b/>
        </w:rPr>
        <w:t>25.</w:t>
        <w:tab/>
        <w:t xml:space="preserve">CONFIDENTIALITY </w:t>
      </w:r>
    </w:p>
    <w:p>
      <w:pPr>
        <w:pStyle w:val="Heading2"/>
        <w:widowControl/>
        <w:tabs>
          <w:tab w:val="clear" w:pos="1800"/>
        </w:tabs>
        <w:ind w:firstLine="720" w:end="0"/>
        <w:rPr/>
      </w:pPr>
      <w:r>
        <w:rPr/>
        <w:t>(a)</w:t>
        <w:tab/>
        <w:t>Except as provided below, the Parties shall maintain the confidentiality of the terms and conditions of this Agreement, and any information provided pursuant to the Agreement (Confidential Information).  Neither Party shall publish, disclose, or otherwise divulge the Confidential Information to any third party at any time, without the prior written consent of the other Party (not to be unreasonably withheld, conditioned or delayed), provided that:</w:t>
      </w:r>
    </w:p>
    <w:p>
      <w:pPr>
        <w:pStyle w:val="Heading3"/>
        <w:widowControl/>
        <w:tabs>
          <w:tab w:val="clear" w:pos="2520"/>
        </w:tabs>
        <w:ind w:start="720" w:end="0"/>
        <w:rPr/>
      </w:pPr>
      <w:r>
        <w:rPr/>
        <w:t>(1)</w:t>
        <w:tab/>
        <w:t>A Party may disclose (on a need to know basis) Confidential Information to such Party’s counsel and advisors, rating agencies, financial institutions or other entities (and their advisors) that provide (or may potentially provide) capital or financing or refinancing to a Party, subject to an undertaking by each such party to maintain the confidentiality of the Confidential Information.</w:t>
      </w:r>
    </w:p>
    <w:p>
      <w:pPr>
        <w:pStyle w:val="BodyTextIndent3"/>
        <w:ind w:hanging="0" w:end="0"/>
        <w:rPr/>
      </w:pPr>
      <w:r>
        <w:rPr/>
        <w:tab/>
        <w:t>(2)</w:t>
        <w:tab/>
        <w:t>A Party may disclose Confidential Information to: (1) its directors, employees, advisors, lenders, representatives or affiliates, and their respective directors, employees, advisors, lenders, representatives or affiliates, who agree to maintain the confidentiality of such Confidential Information; and (2) any of the other Party’s Confidential Information that: (i) becomes generally available to the public; (ii) is already known to the Party at the time of disclosure by the other Party; (iii) is acquired from a third party not known to the receiving Party to be prohibited from making disclosure; or (iv) is required to be disclosed to comply with any applicable law, order, regulation or ruling.</w:t>
      </w:r>
    </w:p>
    <w:p>
      <w:pPr>
        <w:pStyle w:val="Heading2"/>
        <w:widowControl/>
        <w:tabs>
          <w:tab w:val="clear" w:pos="1800"/>
        </w:tabs>
        <w:ind w:firstLine="720" w:end="0"/>
        <w:rPr/>
      </w:pPr>
      <w:r>
        <w:rPr/>
        <w:t>(b)</w:t>
        <w:tab/>
        <w:t xml:space="preserve">Each Party shall use all reasonable care to protect the confidentiality of any Confidential Information provided under this Agreement by the other Party. </w:t>
      </w:r>
    </w:p>
    <w:p>
      <w:pPr>
        <w:pStyle w:val="Heading2"/>
        <w:widowControl/>
        <w:tabs>
          <w:tab w:val="clear" w:pos="1800"/>
        </w:tabs>
        <w:ind w:firstLine="720" w:end="0"/>
        <w:rPr/>
      </w:pPr>
      <w:r>
        <w:rPr/>
        <w:t>(c)</w:t>
        <w:tab/>
        <w:t>This Section shall survive the expiration or any termination of this Agreement for a period of two (2) years from the date of such expiration or termination</w:t>
      </w:r>
    </w:p>
    <w:p>
      <w:pPr>
        <w:pStyle w:val="Heading1"/>
        <w:widowControl/>
        <w:tabs>
          <w:tab w:val="clear" w:pos="360"/>
        </w:tabs>
        <w:ind w:hanging="0" w:start="0"/>
        <w:rPr>
          <w:b/>
        </w:rPr>
      </w:pPr>
      <w:r>
        <w:rPr>
          <w:b/>
        </w:rPr>
        <w:t>26.</w:t>
        <w:tab/>
        <w:t>NOTICE</w:t>
      </w:r>
    </w:p>
    <w:p>
      <w:pPr>
        <w:pStyle w:val="NormalIndent"/>
        <w:widowControl/>
        <w:ind w:firstLine="720" w:end="0"/>
        <w:rPr/>
      </w:pPr>
      <w:r>
        <w:rPr/>
        <w:t>Except as otherwise specifically provided herein or otherwise agreed to by the Parties, any notice, request, demand, statement and/or other communication provided for herein or otherwise given or made in connection herewith shall be in writing and shall be sent to the Parties at the following addresses:</w:t>
      </w:r>
    </w:p>
    <w:p>
      <w:pPr>
        <w:pStyle w:val="Normal"/>
        <w:widowControl/>
        <w:spacing w:before="0" w:after="0"/>
        <w:ind w:start="2160" w:end="0"/>
        <w:rPr/>
      </w:pPr>
      <w:r>
        <w:rPr/>
        <w:t>FRONTERA:</w:t>
      </w:r>
    </w:p>
    <w:p>
      <w:pPr>
        <w:pStyle w:val="Normal"/>
        <w:widowControl/>
        <w:spacing w:before="0" w:after="0"/>
        <w:ind w:start="2160" w:end="0"/>
        <w:rPr/>
      </w:pPr>
      <w:r>
        <w:rPr/>
        <w:t>MDEA Generation Limited Partnership</w:t>
      </w:r>
    </w:p>
    <w:p>
      <w:pPr>
        <w:pStyle w:val="Normal"/>
        <w:widowControl/>
        <w:spacing w:before="0" w:after="0"/>
        <w:ind w:start="2160" w:end="0"/>
        <w:rPr/>
      </w:pPr>
      <w:r>
        <w:rPr/>
        <w:t>Attention:  Energy Management</w:t>
      </w:r>
    </w:p>
    <w:p>
      <w:pPr>
        <w:pStyle w:val="Normal"/>
        <w:widowControl/>
        <w:spacing w:before="0" w:after="0"/>
        <w:ind w:start="2160" w:end="0"/>
        <w:rPr/>
      </w:pPr>
      <w:r>
        <w:rPr/>
        <w:t>TECO Power Services Corporation</w:t>
      </w:r>
    </w:p>
    <w:p>
      <w:pPr>
        <w:pStyle w:val="Normal"/>
        <w:widowControl/>
        <w:spacing w:before="0" w:after="0"/>
        <w:ind w:start="2160" w:end="0"/>
        <w:rPr/>
      </w:pPr>
      <w:r>
        <w:rPr/>
        <w:t>702 North Franklin Street</w:t>
      </w:r>
    </w:p>
    <w:p>
      <w:pPr>
        <w:pStyle w:val="Normal"/>
        <w:widowControl/>
        <w:spacing w:before="0" w:after="0"/>
        <w:ind w:start="2160" w:end="0"/>
        <w:rPr/>
      </w:pPr>
      <w:r>
        <w:rPr/>
        <w:t>Tampa, Florida 33602</w:t>
      </w:r>
    </w:p>
    <w:p>
      <w:pPr>
        <w:pStyle w:val="Normal"/>
        <w:widowControl/>
        <w:spacing w:before="0" w:after="0"/>
        <w:ind w:start="2160" w:end="0"/>
        <w:rPr/>
      </w:pPr>
      <w:r>
        <w:rPr/>
        <w:t>Telephone:  813-228-4111</w:t>
      </w:r>
    </w:p>
    <w:p>
      <w:pPr>
        <w:pStyle w:val="Normal"/>
        <w:widowControl/>
        <w:spacing w:before="0" w:after="0"/>
        <w:ind w:start="2160" w:end="0"/>
        <w:rPr/>
      </w:pPr>
      <w:r>
        <w:rPr/>
        <w:t>Facsimile:  813-228-1360</w:t>
      </w:r>
    </w:p>
    <w:p>
      <w:pPr>
        <w:pStyle w:val="Normal"/>
        <w:widowControl/>
        <w:spacing w:before="0" w:after="0"/>
        <w:ind w:start="2160" w:end="0"/>
        <w:rPr/>
      </w:pPr>
      <w:r>
        <w:rPr/>
      </w:r>
    </w:p>
    <w:p>
      <w:pPr>
        <w:pStyle w:val="Normal"/>
        <w:widowControl/>
        <w:spacing w:before="0" w:after="0"/>
        <w:ind w:start="2160" w:end="0"/>
        <w:rPr/>
      </w:pPr>
      <w:r>
        <w:rPr/>
        <w:t>EPMI:</w:t>
      </w:r>
    </w:p>
    <w:p>
      <w:pPr>
        <w:pStyle w:val="Normal"/>
        <w:widowControl/>
        <w:spacing w:before="0" w:after="0"/>
        <w:ind w:start="2160" w:end="0"/>
        <w:rPr/>
      </w:pPr>
      <w:r>
        <w:rPr/>
        <w:t>Enron Power Marketing, Inc.</w:t>
      </w:r>
    </w:p>
    <w:p>
      <w:pPr>
        <w:pStyle w:val="Normal"/>
        <w:widowControl/>
        <w:spacing w:before="0" w:after="0"/>
        <w:ind w:start="2160" w:end="0"/>
        <w:rPr/>
      </w:pPr>
      <w:r>
        <w:rPr/>
        <w:t>1400 Smith Street</w:t>
      </w:r>
    </w:p>
    <w:p>
      <w:pPr>
        <w:pStyle w:val="Normal"/>
        <w:widowControl/>
        <w:spacing w:before="0" w:after="0"/>
        <w:ind w:start="2160" w:end="0"/>
        <w:rPr/>
      </w:pPr>
      <w:r>
        <w:rPr/>
        <w:t>Houston, Texas 77002</w:t>
      </w:r>
    </w:p>
    <w:p>
      <w:pPr>
        <w:pStyle w:val="Normal"/>
        <w:widowControl/>
        <w:spacing w:before="0" w:after="0"/>
        <w:ind w:start="2160" w:end="0"/>
        <w:rPr/>
      </w:pPr>
      <w:r>
        <w:rPr/>
        <w:t>Attn:[_________________]</w:t>
      </w:r>
    </w:p>
    <w:p>
      <w:pPr>
        <w:pStyle w:val="Normal"/>
        <w:widowControl/>
        <w:spacing w:before="0" w:after="0"/>
        <w:ind w:start="2160" w:end="0"/>
        <w:rPr/>
      </w:pPr>
      <w:r>
        <w:rPr/>
        <w:t>Telephone:</w:t>
      </w:r>
    </w:p>
    <w:p>
      <w:pPr>
        <w:pStyle w:val="Normal"/>
        <w:widowControl/>
        <w:spacing w:before="0" w:after="0"/>
        <w:ind w:start="2160" w:end="0"/>
        <w:rPr/>
      </w:pPr>
      <w:r>
        <w:rPr/>
        <w:t>Facsimile:</w:t>
      </w:r>
    </w:p>
    <w:p>
      <w:pPr>
        <w:pStyle w:val="Normal"/>
        <w:widowControl/>
        <w:spacing w:before="0" w:after="0"/>
        <w:ind w:start="2160" w:end="0"/>
        <w:rPr/>
      </w:pPr>
      <w:r>
        <w:rPr/>
      </w:r>
    </w:p>
    <w:p>
      <w:pPr>
        <w:pStyle w:val="Normal"/>
        <w:widowControl/>
        <w:spacing w:before="0" w:after="0"/>
        <w:ind w:start="2160" w:end="0"/>
        <w:rPr/>
      </w:pPr>
      <w:r>
        <w:rPr/>
        <w:t>With a copy to:</w:t>
      </w:r>
    </w:p>
    <w:p>
      <w:pPr>
        <w:pStyle w:val="Normal"/>
        <w:widowControl/>
        <w:spacing w:before="0" w:after="0"/>
        <w:ind w:start="2160" w:end="0"/>
        <w:rPr/>
      </w:pPr>
      <w:r>
        <w:rPr/>
      </w:r>
    </w:p>
    <w:p>
      <w:pPr>
        <w:pStyle w:val="Normal"/>
        <w:widowControl/>
        <w:spacing w:before="0" w:after="0"/>
        <w:ind w:start="2160" w:end="0"/>
        <w:rPr/>
      </w:pPr>
      <w:r>
        <w:rPr/>
        <w:t>Enron Power Marketing, Inc.</w:t>
      </w:r>
    </w:p>
    <w:p>
      <w:pPr>
        <w:pStyle w:val="Normal"/>
        <w:widowControl/>
        <w:spacing w:before="0" w:after="0"/>
        <w:ind w:start="2160" w:end="0"/>
        <w:rPr/>
      </w:pPr>
      <w:r>
        <w:rPr/>
        <w:t xml:space="preserve">1400 Smith Street </w:t>
      </w:r>
    </w:p>
    <w:p>
      <w:pPr>
        <w:pStyle w:val="Normal"/>
        <w:widowControl/>
        <w:spacing w:before="0" w:after="0"/>
        <w:ind w:start="2160" w:end="0"/>
        <w:rPr/>
      </w:pPr>
      <w:r>
        <w:rPr/>
        <w:t xml:space="preserve">Houston, Texas 77002 </w:t>
      </w:r>
    </w:p>
    <w:p>
      <w:pPr>
        <w:pStyle w:val="Normal"/>
        <w:widowControl/>
        <w:spacing w:before="0" w:after="0"/>
        <w:ind w:start="2160" w:end="0"/>
        <w:rPr/>
      </w:pPr>
      <w:r>
        <w:rPr/>
        <w:t>Attn: Elizabeth Sager</w:t>
      </w:r>
    </w:p>
    <w:p>
      <w:pPr>
        <w:pStyle w:val="Normal"/>
        <w:widowControl/>
        <w:spacing w:before="0" w:after="0"/>
        <w:ind w:start="2160" w:end="0"/>
        <w:rPr/>
      </w:pPr>
      <w:r>
        <w:rPr/>
        <w:t>Telephone:  713-853-6349</w:t>
      </w:r>
    </w:p>
    <w:p>
      <w:pPr>
        <w:pStyle w:val="Normal"/>
        <w:widowControl/>
        <w:spacing w:before="0" w:after="0"/>
        <w:ind w:start="2160" w:end="0"/>
        <w:rPr/>
      </w:pPr>
      <w:r>
        <w:rPr/>
        <w:t>Facsimile:  713-646-3490</w:t>
      </w:r>
    </w:p>
    <w:p>
      <w:pPr>
        <w:pStyle w:val="Normal"/>
        <w:widowControl/>
        <w:spacing w:before="0" w:after="0"/>
        <w:ind w:start="2160" w:end="0"/>
        <w:rPr/>
      </w:pPr>
      <w:r>
        <w:rPr/>
      </w:r>
    </w:p>
    <w:p>
      <w:pPr>
        <w:pStyle w:val="NormalIndent"/>
        <w:widowControl/>
        <w:ind w:firstLine="720" w:end="0"/>
        <w:rPr/>
      </w:pPr>
      <w:r>
        <w:rPr/>
        <w:t>Notices shall be deemed to have been given and received (a) when personally delivered, (b) upon receipt from a private courier service, (c) when delivered by the U.S. Postal Service, registered or certified, to the appropriate Party, or (d) on a Business Day during which a facsimile is properly sent and received.  Either Party may change the address, facsimile number, or telephone number to which notice is to be given by written notice to the other Party.  In addition, either Party may appoint an agent to give or receive operational notices for specific deliveries of Products, provided that copies of notices given to such an agent shall also be sent to such Party as above provided and be consistent with the established Communication Procedures. The Parties shall make appropriate arrangements for communication by telephone or otherwise in emergency situations.</w:t>
      </w:r>
    </w:p>
    <w:p>
      <w:pPr>
        <w:pStyle w:val="Heading1"/>
        <w:widowControl/>
        <w:tabs>
          <w:tab w:val="clear" w:pos="360"/>
        </w:tabs>
        <w:ind w:hanging="0" w:start="0"/>
        <w:rPr>
          <w:b/>
        </w:rPr>
      </w:pPr>
      <w:r>
        <w:rPr>
          <w:b/>
        </w:rPr>
        <w:t>27.</w:t>
        <w:tab/>
        <w:t>WAIVERS</w:t>
      </w:r>
    </w:p>
    <w:p>
      <w:pPr>
        <w:pStyle w:val="NormalIndent"/>
        <w:widowControl/>
        <w:ind w:firstLine="720" w:end="0"/>
        <w:rPr/>
      </w:pPr>
      <w:r>
        <w:rPr/>
        <w:t>Any waiver at any time by either Party of its rights with respect to this Agreement, or with respect to any other matter arising in connection with this Agreement, shall not be deemed a waiver with respect to any subsequent matter arising in connection therewith. Any delay, short of the statutory period of limitations in assessing or enforcing any right, shall not be deemed a waiver of such right.</w:t>
      </w:r>
    </w:p>
    <w:p>
      <w:pPr>
        <w:pStyle w:val="Heading1"/>
        <w:keepNext w:val="true"/>
        <w:widowControl/>
        <w:tabs>
          <w:tab w:val="clear" w:pos="360"/>
        </w:tabs>
        <w:ind w:hanging="0" w:start="0"/>
        <w:rPr>
          <w:b/>
        </w:rPr>
      </w:pPr>
      <w:r>
        <w:rPr>
          <w:b/>
        </w:rPr>
        <w:t>28.</w:t>
        <w:tab/>
        <w:t>TAXES</w:t>
      </w:r>
    </w:p>
    <w:p>
      <w:pPr>
        <w:pStyle w:val="NormalIndent"/>
        <w:widowControl/>
        <w:ind w:firstLine="720" w:end="0"/>
        <w:rPr/>
      </w:pPr>
      <w:r>
        <w:rPr/>
        <w:t xml:space="preserve">Each Party shall use reasonable efforts to administer this Agreement and implement the provisions hereof in accordance with the intent to minimize taxes.  Both Parties agree to modify the terms of this Agreement in a reasonable manner, consistent with the intent of the Parties as set forth herein, to minimize the taxes (excluding income taxes) payable by the Parties.  </w:t>
      </w:r>
    </w:p>
    <w:p>
      <w:pPr>
        <w:pStyle w:val="Heading1"/>
        <w:keepNext w:val="true"/>
        <w:keepLines/>
        <w:widowControl/>
        <w:tabs>
          <w:tab w:val="clear" w:pos="360"/>
        </w:tabs>
        <w:ind w:hanging="0" w:start="0"/>
        <w:rPr>
          <w:b/>
        </w:rPr>
      </w:pPr>
      <w:r>
        <w:rPr>
          <w:b/>
        </w:rPr>
        <w:t>29.</w:t>
        <w:tab/>
        <w:t>REPRESENTATIONS AND WARRANTIES</w:t>
      </w:r>
    </w:p>
    <w:p>
      <w:pPr>
        <w:pStyle w:val="Normal"/>
        <w:keepNext w:val="true"/>
        <w:keepLines/>
        <w:widowControl/>
        <w:ind w:firstLine="720" w:end="0"/>
        <w:rPr/>
      </w:pPr>
      <w:r>
        <w:rPr/>
        <w:t>(a)</w:t>
        <w:tab/>
        <w:t>Organization; Powers.</w:t>
      </w:r>
    </w:p>
    <w:p>
      <w:pPr>
        <w:pStyle w:val="Heading2"/>
        <w:widowControl/>
        <w:tabs>
          <w:tab w:val="clear" w:pos="1800"/>
        </w:tabs>
        <w:ind w:firstLine="720" w:start="720" w:end="0"/>
        <w:rPr/>
      </w:pPr>
      <w:r>
        <w:rPr/>
        <w:t>(1)</w:t>
        <w:tab/>
        <w:t>MDEA represents and warrants that it is a duly formed and validly existing limited partnership under the laws of the State of Delaware and has the requisite power and authority to carry on its business as now being conducted and currently proposed to be conducted and to execute, deliver and perform its obligations under this Agreement.</w:t>
      </w:r>
    </w:p>
    <w:p>
      <w:pPr>
        <w:pStyle w:val="Heading2"/>
        <w:widowControl/>
        <w:tabs>
          <w:tab w:val="clear" w:pos="1800"/>
        </w:tabs>
        <w:ind w:firstLine="720" w:start="720" w:end="0"/>
        <w:rPr/>
      </w:pPr>
      <w:r>
        <w:rPr/>
        <w:t>(2)</w:t>
        <w:tab/>
        <w:t>EPMI represents and warrants that it is a duly formed and validly existing corporation under the laws of the State of Delaware and has the requisite power and authority to carry on its business as now being conducted and currently proposed to be conducted (except that EPMI is not currently authorized to perform the QSE Services but is seeking such approval) and to execute, deliver and perform its obligations under this Agreement.</w:t>
      </w:r>
    </w:p>
    <w:p>
      <w:pPr>
        <w:pStyle w:val="Normal"/>
        <w:widowControl/>
        <w:ind w:firstLine="720" w:end="0"/>
        <w:rPr/>
      </w:pPr>
      <w:r>
        <w:rPr/>
        <w:t>(b)</w:t>
        <w:tab/>
        <w:t>Authorization; Enforceability.</w:t>
      </w:r>
    </w:p>
    <w:p>
      <w:pPr>
        <w:pStyle w:val="Heading2"/>
        <w:widowControl/>
        <w:tabs>
          <w:tab w:val="clear" w:pos="1800"/>
        </w:tabs>
        <w:ind w:firstLine="720" w:start="720" w:end="0"/>
        <w:rPr/>
      </w:pPr>
      <w:r>
        <w:rPr/>
        <w:t>(1)</w:t>
        <w:tab/>
        <w:t>MDEA represents and warrants that it has taken all action necessary to authorize it to execute, deliver and perform its obligations under this Agreement and this Agreement, when executed and delivered, shall constitute a legal, valid and binding obligation of MDEA, enforceable in accordance with its terms, subject to bankruptcy, reorganization, moratorium or other similar laws affecting the enforcement of the rights of creditors generally and to general principles of equity.</w:t>
      </w:r>
    </w:p>
    <w:p>
      <w:pPr>
        <w:pStyle w:val="Heading2"/>
        <w:widowControl/>
        <w:tabs>
          <w:tab w:val="clear" w:pos="1800"/>
        </w:tabs>
        <w:ind w:firstLine="720" w:start="720" w:end="0"/>
        <w:rPr/>
      </w:pPr>
      <w:r>
        <w:rPr/>
        <w:t>(2)</w:t>
        <w:tab/>
        <w:t xml:space="preserve">EPMI represents and warrants that it has taken all action necessary to authorize it to execute, deliver and perform its obligations under this Agreement and this Agreement, when executed and delivered, shall constitute a legal, valid and binding obligation of EPMI, enforceable in accordance with its terms, subject to bankruptcy, reorganization, moratorium or other similar laws affecting the enforcement of the rights of creditors generally and to general principles of equity. </w:t>
      </w:r>
    </w:p>
    <w:p>
      <w:pPr>
        <w:pStyle w:val="Normal"/>
        <w:widowControl/>
        <w:ind w:firstLine="720" w:end="0"/>
        <w:rPr/>
      </w:pPr>
      <w:r>
        <w:rPr/>
        <w:t>(c)</w:t>
        <w:tab/>
        <w:t>No Conflict.</w:t>
      </w:r>
    </w:p>
    <w:p>
      <w:pPr>
        <w:pStyle w:val="Heading2"/>
        <w:widowControl/>
        <w:tabs>
          <w:tab w:val="clear" w:pos="1800"/>
        </w:tabs>
        <w:ind w:firstLine="720" w:start="720" w:end="0"/>
        <w:rPr/>
      </w:pPr>
      <w:r>
        <w:rPr/>
        <w:t>(1)</w:t>
        <w:tab/>
        <w:t>MDEA represents and warrants that the execution, delivery and performance of this Agreement does not and shall not (i) violate any laws, statutes, codes, acts, ordinances, orders, judgments, decrees, injunctions, rules, regulations, permits (including emissions permits), licenses, authorizations, directions and requirements of any federal, state, local or foreign governmental department, commission, board, bureau, authority, agency, court, instrumentality or judicial or regulatory body or entity (collectively, Legal Requirements) applicable to MDEA or the violation of which could reasonably be expected to result in a Material Adverse Effect on the business, assets or financial condition of MDEA; or (ii) conflict with, result in a breach of, or constitute a default under any indenture or agreement to which MDEA is a party.</w:t>
      </w:r>
    </w:p>
    <w:p>
      <w:pPr>
        <w:pStyle w:val="Heading2"/>
        <w:widowControl/>
        <w:tabs>
          <w:tab w:val="clear" w:pos="1800"/>
        </w:tabs>
        <w:ind w:firstLine="720" w:start="720" w:end="0"/>
        <w:rPr/>
      </w:pPr>
      <w:r>
        <w:rPr/>
        <w:t>(2)</w:t>
        <w:tab/>
        <w:t xml:space="preserve">EPMI represents and warrants that the execution, delivery and performance of this Agreement does not and shall not (i) violate any Legal Requirement applicable to EPMI or the violation of which could reasonably be expected to result in a Material Adverse Effect on the business, assets or financial condition of EPMI; or (ii) conflict with, result in a breach of, or constitute a default under any indenture or agreement to which EPMI is a party. </w:t>
      </w:r>
    </w:p>
    <w:p>
      <w:pPr>
        <w:pStyle w:val="Normal"/>
        <w:widowControl/>
        <w:ind w:firstLine="720" w:end="0"/>
        <w:rPr/>
      </w:pPr>
      <w:r>
        <w:rPr/>
        <w:t>(d)</w:t>
        <w:tab/>
        <w:t>No Default.</w:t>
      </w:r>
    </w:p>
    <w:p>
      <w:pPr>
        <w:pStyle w:val="Heading2"/>
        <w:widowControl/>
        <w:tabs>
          <w:tab w:val="clear" w:pos="1800"/>
        </w:tabs>
        <w:ind w:firstLine="720" w:start="720" w:end="0"/>
        <w:rPr/>
      </w:pPr>
      <w:r>
        <w:rPr/>
        <w:t>(1)</w:t>
        <w:tab/>
        <w:t>MDEA represents and warrants that as of the Effective Date, no condition or event that would constitute an Event of Default has occurred and is continuing.</w:t>
      </w:r>
    </w:p>
    <w:p>
      <w:pPr>
        <w:pStyle w:val="Heading2"/>
        <w:widowControl/>
        <w:tabs>
          <w:tab w:val="clear" w:pos="1800"/>
        </w:tabs>
        <w:spacing w:before="0" w:after="120"/>
        <w:ind w:firstLine="720" w:start="720" w:end="0"/>
        <w:rPr/>
      </w:pPr>
      <w:r>
        <w:rPr/>
        <w:t>(2)</w:t>
        <w:tab/>
        <w:t>EPMI represents and warrants that as of the Effective Date, no condition or event that would constitute an Event of Default has occurred and is continuing.</w:t>
      </w:r>
    </w:p>
    <w:p>
      <w:pPr>
        <w:pStyle w:val="Normal"/>
        <w:widowControl/>
        <w:ind w:firstLine="720" w:end="0"/>
        <w:rPr/>
      </w:pPr>
      <w:r>
        <w:rPr/>
        <w:t>(e)</w:t>
        <w:tab/>
        <w:t>Compliance.</w:t>
      </w:r>
    </w:p>
    <w:p>
      <w:pPr>
        <w:pStyle w:val="Heading2"/>
        <w:widowControl/>
        <w:tabs>
          <w:tab w:val="clear" w:pos="1800"/>
        </w:tabs>
        <w:ind w:firstLine="720" w:start="720" w:end="0"/>
        <w:rPr/>
      </w:pPr>
      <w:r>
        <w:rPr/>
        <w:t>(1)</w:t>
        <w:tab/>
        <w:t>MDEA represents and warrants that it is in compliance with and has obtained any and all governmental approvals applicable to it and this Agreement, to the extent that such non-compliance could not reasonably be expected to result in a Material Adverse Effect on MDEA and MDEA is using its commercially reasonable efforts to remedy such noncompliance, if any, as quickly as possible.</w:t>
      </w:r>
    </w:p>
    <w:p>
      <w:pPr>
        <w:pStyle w:val="Heading2"/>
        <w:widowControl/>
        <w:tabs>
          <w:tab w:val="clear" w:pos="1800"/>
        </w:tabs>
        <w:ind w:firstLine="720" w:start="720" w:end="0"/>
        <w:rPr/>
      </w:pPr>
      <w:r>
        <w:rPr/>
        <w:t>(2)</w:t>
        <w:tab/>
        <w:t>EPMI represents and warrants that it is in compliance with any and all governmental approvals applicable to it and this Agreement, to the extent that such non-compliance could not reasonably be expected to result in a Material Adverse Effect on EPMI and EPMI is using its commercially reasonable efforts to remedy such noncompliance, if any, as quickly as possible.</w:t>
      </w:r>
    </w:p>
    <w:p>
      <w:pPr>
        <w:pStyle w:val="Normal"/>
        <w:keepNext w:val="true"/>
        <w:widowControl/>
        <w:ind w:firstLine="720" w:end="0"/>
        <w:rPr/>
      </w:pPr>
      <w:r>
        <w:rPr/>
        <w:t>(f)</w:t>
        <w:tab/>
        <w:t>Litigation.</w:t>
      </w:r>
    </w:p>
    <w:p>
      <w:pPr>
        <w:pStyle w:val="Heading2"/>
        <w:widowControl/>
        <w:tabs>
          <w:tab w:val="clear" w:pos="1800"/>
        </w:tabs>
        <w:ind w:firstLine="720" w:start="720" w:end="0"/>
        <w:rPr/>
      </w:pPr>
      <w:r>
        <w:rPr/>
        <w:t>(1)</w:t>
        <w:tab/>
        <w:t>MDEA represents and warrants that there are no actions, suits or proceedings pending or, to the best of its knowledge, threatened (in writing) against MDEA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MDEA or its ability to perform under this Agreement.</w:t>
      </w:r>
    </w:p>
    <w:p>
      <w:pPr>
        <w:pStyle w:val="Heading2"/>
        <w:widowControl/>
        <w:tabs>
          <w:tab w:val="clear" w:pos="1800"/>
        </w:tabs>
        <w:ind w:firstLine="720" w:start="720" w:end="0"/>
        <w:rPr/>
      </w:pPr>
      <w:r>
        <w:rPr/>
        <w:t>(2)</w:t>
        <w:tab/>
        <w:t xml:space="preserve">EPMI represents and warrants that there are no actions, suits or proceedings pending or, to the best of its knowledge, threatened (in writing) against EPMI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EPMI or its ability to perform under this Agreement. </w:t>
      </w:r>
    </w:p>
    <w:p>
      <w:pPr>
        <w:pStyle w:val="Normal"/>
        <w:widowControl/>
        <w:ind w:firstLine="720" w:end="0"/>
        <w:rPr/>
      </w:pPr>
      <w:r>
        <w:rPr/>
        <w:t>(g)</w:t>
        <w:tab/>
        <w:t>Governmental Approvals.</w:t>
      </w:r>
    </w:p>
    <w:p>
      <w:pPr>
        <w:pStyle w:val="Heading2"/>
        <w:widowControl/>
        <w:tabs>
          <w:tab w:val="clear" w:pos="1800"/>
        </w:tabs>
        <w:ind w:firstLine="720" w:start="720" w:end="0"/>
        <w:rPr/>
      </w:pPr>
      <w:r>
        <w:rPr/>
        <w:t>(1)</w:t>
        <w:tab/>
        <w:t xml:space="preserve">MDEA represents and warrants that all governmental approvals necessary for it to enter into this Agreement have been obtained, are in full force and effect and are final and non-appealable. </w:t>
      </w:r>
    </w:p>
    <w:p>
      <w:pPr>
        <w:pStyle w:val="Heading2"/>
        <w:widowControl/>
        <w:tabs>
          <w:tab w:val="clear" w:pos="1800"/>
        </w:tabs>
        <w:ind w:firstLine="720" w:start="720" w:end="0"/>
        <w:rPr/>
      </w:pPr>
      <w:r>
        <w:rPr/>
        <w:t>(2)</w:t>
        <w:tab/>
        <w:t>EPMI represents and warrants that all governmental approvals necessary for it to enter into this Agreement have been obtained, are in full force and effect and are final and non-appealable.</w:t>
      </w:r>
    </w:p>
    <w:p>
      <w:pPr>
        <w:pStyle w:val="Heading2"/>
        <w:widowControl/>
        <w:tabs>
          <w:tab w:val="clear" w:pos="1800"/>
          <w:tab w:val="left" w:pos="720" w:leader="none"/>
        </w:tabs>
        <w:ind w:hanging="0" w:end="0"/>
        <w:rPr/>
      </w:pPr>
      <w:r>
        <w:rPr/>
        <w:tab/>
        <w:t>(h)</w:t>
        <w:tab/>
        <w:t>Financial Security</w:t>
      </w:r>
    </w:p>
    <w:p>
      <w:pPr>
        <w:pStyle w:val="Heading2"/>
        <w:widowControl/>
        <w:tabs>
          <w:tab w:val="clear" w:pos="1800"/>
        </w:tabs>
        <w:ind w:firstLine="720" w:start="720" w:end="0"/>
        <w:rPr/>
      </w:pPr>
      <w:r>
        <w:rPr/>
        <w:t>To the best of each Party’s actual knowledge, the Financial Security provided by (or on behalf of ) each such Party under this Agreement is in full force and effect, there are no conditions or circumstances that would in any way diminish the value or enforceability of the Financial Security and that there are no conditions that would indicate that during the Term of this Agreement that the Financial Security would be jeopardized or reduced in value or enforceability.</w:t>
      </w:r>
    </w:p>
    <w:p>
      <w:pPr>
        <w:pStyle w:val="Heading2"/>
        <w:keepNext w:val="true"/>
        <w:widowControl/>
        <w:tabs>
          <w:tab w:val="clear" w:pos="1800"/>
          <w:tab w:val="left" w:pos="720" w:leader="none"/>
        </w:tabs>
        <w:ind w:hanging="0" w:end="0"/>
        <w:rPr/>
      </w:pPr>
      <w:r>
        <w:rPr/>
        <w:tab/>
        <w:t>(i)</w:t>
        <w:tab/>
        <w:t>Solvency</w:t>
      </w:r>
    </w:p>
    <w:p>
      <w:pPr>
        <w:pStyle w:val="Heading2"/>
        <w:keepNext w:val="true"/>
        <w:widowControl/>
        <w:tabs>
          <w:tab w:val="clear" w:pos="1800"/>
        </w:tabs>
        <w:ind w:firstLine="720" w:start="720" w:end="0"/>
        <w:rPr/>
      </w:pPr>
      <w:r>
        <w:rPr/>
        <w:t>The Parties each represent that there are no actions or threatened actions pending relating to the bankruptcy, insolvency, receivership or consolidation for the benefit of creditors that would affect either of them or that would affect the ability  of either of them to perform under this Agreement.</w:t>
      </w:r>
    </w:p>
    <w:p>
      <w:pPr>
        <w:pStyle w:val="Heading1"/>
        <w:widowControl/>
        <w:tabs>
          <w:tab w:val="clear" w:pos="360"/>
        </w:tabs>
        <w:ind w:hanging="0" w:start="0"/>
        <w:rPr>
          <w:b/>
        </w:rPr>
      </w:pPr>
      <w:r>
        <w:rPr>
          <w:b/>
        </w:rPr>
        <w:t>30.</w:t>
        <w:tab/>
        <w:t>MISCELLANEOUS</w:t>
      </w:r>
    </w:p>
    <w:p>
      <w:pPr>
        <w:pStyle w:val="Heading2"/>
        <w:widowControl/>
        <w:tabs>
          <w:tab w:val="clear" w:pos="1800"/>
        </w:tabs>
        <w:ind w:firstLine="720" w:end="0"/>
        <w:rPr/>
      </w:pPr>
      <w:r>
        <w:rPr/>
        <w:t>(a)</w:t>
        <w:tab/>
        <w:t>Each Party shall prepare, execute and deliver to the other Party any documents reasonably required to implement any provision hereof.</w:t>
      </w:r>
    </w:p>
    <w:p>
      <w:pPr>
        <w:pStyle w:val="Heading2"/>
        <w:widowControl/>
        <w:tabs>
          <w:tab w:val="clear" w:pos="1800"/>
        </w:tabs>
        <w:ind w:firstLine="720" w:end="0"/>
        <w:rPr/>
      </w:pPr>
      <w:r>
        <w:rPr/>
        <w:t>(b)</w:t>
        <w:tab/>
        <w:t>Any number of counterparts of this Agreement may be executed and each shall have the same force and effect and be deemed to constitute an original.</w:t>
      </w:r>
    </w:p>
    <w:p>
      <w:pPr>
        <w:pStyle w:val="Heading2"/>
        <w:widowControl/>
        <w:tabs>
          <w:tab w:val="clear" w:pos="1800"/>
        </w:tabs>
        <w:ind w:firstLine="720" w:end="0"/>
        <w:rPr/>
      </w:pPr>
      <w:r>
        <w:rPr/>
        <w:t>(c)</w:t>
        <w:tab/>
        <w:t>The Parties consent to electronic recording of scheduling and other communications required or necessary in performing their respective obligations under this Agreement, which recordings may be used as evidence of the Parties’ intended course of conduct under this Agreement (subject to objections for relevance and materiality), provided that, in the event of a dispute, a Party shall upon request provide to the other Party a copy of any recording relevant to the issue in dispute.</w:t>
      </w:r>
    </w:p>
    <w:p>
      <w:pPr>
        <w:pStyle w:val="Heading2"/>
        <w:widowControl/>
        <w:tabs>
          <w:tab w:val="clear" w:pos="1800"/>
        </w:tabs>
        <w:ind w:firstLine="720" w:end="0"/>
        <w:rPr/>
      </w:pPr>
      <w:r>
        <w:rPr/>
        <w:t>(d)</w:t>
        <w:tab/>
        <w:t xml:space="preserve">This Agreement and any Transaction entered into confer no rights whatsoever upon any person other than the Parties and shall not create, or be interpreted as creating, any standard of care, duty or liability to any person not a Party to this Agreement.  </w:t>
      </w:r>
    </w:p>
    <w:p>
      <w:pPr>
        <w:pStyle w:val="Heading2"/>
        <w:widowControl/>
        <w:tabs>
          <w:tab w:val="clear" w:pos="1800"/>
        </w:tabs>
        <w:ind w:firstLine="720" w:end="0"/>
        <w:rPr/>
      </w:pPr>
      <w:r>
        <w:rPr/>
        <w:t>(e)</w:t>
        <w:tab/>
        <w:t>Article and Section headings used are for convenience of reference only, are not part of this Agreement and are not to affect the construction of, or to be taken into consideration in interpreting, this Agreement.</w:t>
      </w:r>
    </w:p>
    <w:p>
      <w:pPr>
        <w:pStyle w:val="Heading2"/>
        <w:widowControl/>
        <w:tabs>
          <w:tab w:val="clear" w:pos="1800"/>
        </w:tabs>
        <w:ind w:firstLine="720" w:end="0"/>
        <w:rPr/>
      </w:pPr>
      <w:r>
        <w:rPr/>
        <w:t>(f)</w:t>
        <w:tab/>
        <w:t xml:space="preserve">Neither this Agreement nor any provision hereof may be waived, amended or modified except pursuant to an agreement or agreements in writing entered into by MDEA and EPMI.  Notwithstanding the foregoing to the contrary, the Risk Management Committee shall be permitted to modify the terms of the Marketing Strategy, Trading and Risk Policy and the Fuel Management Plan. </w:t>
      </w:r>
    </w:p>
    <w:p>
      <w:pPr>
        <w:pStyle w:val="Heading2"/>
        <w:widowControl/>
        <w:tabs>
          <w:tab w:val="clear" w:pos="1800"/>
        </w:tabs>
        <w:ind w:firstLine="720" w:end="0"/>
        <w:rPr/>
      </w:pPr>
      <w:r>
        <w:rPr/>
        <w:t>(g)</w:t>
        <w:tab/>
        <w:t>In this Agreement, unless the context indicates otherwise, the singular includes the plural and the plural the singular; references to statutes, sections or regulations are to be construed as including all statutory or regulatory provisions consolidating, amending, replacing, succeeding or supplementing the statute, section or regulation referred to; the words “including,” “includes” and “include” shall be deemed to be followed by the words “without limitation” or “but not limited to” or words of similar import; references to articles, sections (or subdivisions of sections), exhibits, annexes, appendices or schedules are to those of this Agreement unless otherwise indicated; references to agreements and other contractual instruments shall be deemed to include all exhibits, schedules and appendices attached thereto and all subsequent amendments and other modifications to such instruments, but only to the extent such amendments and other modifications are not prohibited by the terms of this Agreement; references to days shall mean calendar days unless specified otherwise; and references to Persons include their respective successors and permitted assigns.</w:t>
      </w:r>
    </w:p>
    <w:p>
      <w:pPr>
        <w:pStyle w:val="Heading2"/>
        <w:widowControl/>
        <w:tabs>
          <w:tab w:val="clear" w:pos="1800"/>
        </w:tabs>
        <w:ind w:firstLine="720" w:end="0"/>
        <w:rPr/>
      </w:pPr>
      <w:r>
        <w:rPr/>
        <w:t>(h)</w:t>
        <w:tab/>
        <w:t xml:space="preserve">This Agreement shall be governed, in all respects, by the laws of the State of Texas (regardless of the laws that might otherwise govern under applicable Texas principles of conflicts of laws). </w:t>
      </w:r>
    </w:p>
    <w:p>
      <w:pPr>
        <w:pStyle w:val="BodyText"/>
        <w:widowControl/>
        <w:numPr>
          <w:ilvl w:val="0"/>
          <w:numId w:val="3"/>
        </w:numPr>
        <w:rPr>
          <w:b/>
        </w:rPr>
      </w:pPr>
      <w:r>
        <w:rPr>
          <w:b/>
        </w:rPr>
        <w:t>FINANCING PARTIES’ REQUIREMENTS AND LIEN WAIVERS</w:t>
      </w:r>
    </w:p>
    <w:p>
      <w:pPr>
        <w:pStyle w:val="BodyText"/>
        <w:widowControl/>
        <w:ind w:start="360" w:end="0"/>
        <w:rPr>
          <w:b/>
        </w:rPr>
      </w:pPr>
      <w:r>
        <w:rPr>
          <w:b/>
        </w:rPr>
      </w:r>
    </w:p>
    <w:p>
      <w:pPr>
        <w:pStyle w:val="BodyText"/>
        <w:widowControl/>
        <w:jc w:val="center"/>
        <w:rPr/>
      </w:pPr>
      <w:r>
        <w:rPr/>
      </w:r>
    </w:p>
    <w:p>
      <w:pPr>
        <w:pStyle w:val="BodyText"/>
        <w:widowControl/>
        <w:ind w:firstLine="720" w:end="0"/>
        <w:rPr/>
      </w:pPr>
      <w:r>
        <w:rPr/>
        <w:t>(a)</w:t>
        <w:tab/>
        <w:t xml:space="preserve">EPMI acknowledges that MDEA may borrow certain funds from the Financing Parties for the acquisition of the Facilities and that, as a condition to making loans to MDEA, the Financing Parties may require that MDEA convey a security interest in the Facilities, any Transaction, or in this Agreement, and from time to time may require certain documents from EPMI.  In connection with such financing, EPMI agrees to furnish to the Financing Parties such written information, certificates, copies of invoices and receipts, lien waivers (upon payment), affidavits and other like documents as the Financing Parties may reasonably request.  Upon the reasonable request of the Financing Parties, EPMI shall state in writing whether or not it is satisfied with MDEA’s performance to that date.  EPMI shall negotiate in good faith amendments to this Agreement reasonably requested by the Financing Parties.  Notwithstanding Section 30(d), MDEA and EPMI agree that the Financing Parties are intended to be a third party beneficiary of this Agreement.  In that regard, MDEA and EPMI will not, without the prior written consent of the Financing Parties of whom EPMI is made aware in writing, amend or modify any material term of this Agreement except the Marketing Strategy, Trading and Risk Policy and the Fuel Management Plan. </w:t>
      </w:r>
    </w:p>
    <w:p>
      <w:pPr>
        <w:pStyle w:val="BodyText"/>
        <w:widowControl/>
        <w:ind w:firstLine="720" w:end="0"/>
        <w:rPr/>
      </w:pPr>
      <w:r>
        <w:rPr/>
      </w:r>
    </w:p>
    <w:p>
      <w:pPr>
        <w:pStyle w:val="BodyText"/>
        <w:widowControl/>
        <w:ind w:firstLine="720" w:end="0"/>
        <w:rPr/>
      </w:pPr>
      <w:r>
        <w:rPr/>
        <w:t>(b)</w:t>
        <w:tab/>
        <w:t>EPMI shall promptly execute any additional documentation as may be mutually agreed on form and substance, reasonably requested by the Financing Parties, including, but not limited to, documents evidencing EPMI’s consent to assignment of this Agreement as a security to the Financing Parties or otherwise upon the occurrence of events specified in such documents and any reasonable modifications to this Agreement.</w:t>
      </w:r>
    </w:p>
    <w:p>
      <w:pPr>
        <w:pStyle w:val="BodyText"/>
        <w:widowControl/>
        <w:ind w:firstLine="720" w:end="0"/>
        <w:rPr/>
      </w:pPr>
      <w:r>
        <w:rPr/>
      </w:r>
    </w:p>
    <w:p>
      <w:pPr>
        <w:pStyle w:val="BodyText"/>
        <w:widowControl/>
        <w:ind w:firstLine="720" w:end="0"/>
        <w:rPr/>
      </w:pPr>
      <w:r>
        <w:rPr/>
        <w:t>(c)</w:t>
        <w:tab/>
        <w:t>Notwithstanding anything in this Agreement to the contrary, in the event of MDEA’s default under this Agreement, the Financing Parties shall have the right to cure MDEA’s default and, in such event, EPMI’s duties and obligations under this Agreement shall be unaffected.  In that regard, if a security or other interest in this Agreement is conveyed to the Financing Parties, EPMI shall provide all notices of an Event Default to the Financing Parties (so long as EPMI has received from MDEA written notice of the existence of such Financing Parties and their addresses for delivery of notices), and the Financing Parties shall have (i) five (5) Business Days from the date notice of an Event of Default is delivered to the Financing Parties to cure such Event of Default if such default is a Financing Event of Default, or (ii) thirty (30) days to cure such Event of Default if such Event of Default is not a Financing Event of Default or (except for any Event of Default under Section 17(a)(6)) such longer period of time as may be reasonable in which to cure so long as the Financing Parties or their designee shall have commenced to cure the Event of Default within such thirty (30) day period and thereafter, diligently pursues such cure to completion and continues to perform any monetary obligations under this Agreement and all other obligations under this Agreement are performed by MDEA or the Financing Parties.  EPMI further agrees to perform its obligations under this Agreement for the benefit of the Financing Parties in the event of MDEA’s default under this Agreement or under the Financing Documents, provided that the Financing Parties (or their assignee) shall have cured all Events of Default of MDEA’s obligations under this Agreement and shall have paid all amounts then due, including costs to cure.  In such event, the Financing Parties (or their assignee) shall have the rights and obligations of MDEA under this Agreement, provided the Financing Parties shall have no personal liability to EPMI for the performance of such obligations, and the sole recourse of EPMI in seeking the enforcement of such obligations shall be to such parties’ interest in the Facilities.</w:t>
      </w:r>
    </w:p>
    <w:p>
      <w:pPr>
        <w:pStyle w:val="BodyText"/>
        <w:widowControl/>
        <w:ind w:firstLine="720" w:end="0"/>
        <w:rPr/>
      </w:pPr>
      <w:r>
        <w:rPr/>
      </w:r>
    </w:p>
    <w:p>
      <w:pPr>
        <w:pStyle w:val="BodyText"/>
        <w:widowControl/>
        <w:ind w:firstLine="720" w:end="0"/>
        <w:rPr/>
      </w:pPr>
      <w:r>
        <w:rPr/>
        <w:t>(d)</w:t>
        <w:tab/>
        <w:t>The Parties further agree that any costs or other expenses reasonably incurred by EPMI in the performance of its obligations under this Section 31, shall be reimbursed to EPMI by MDEA.</w:t>
      </w:r>
    </w:p>
    <w:p>
      <w:pPr>
        <w:pStyle w:val="BodyText"/>
        <w:widowControl/>
        <w:rPr>
          <w:b/>
        </w:rPr>
      </w:pPr>
      <w:r>
        <w:rPr>
          <w:b/>
        </w:rPr>
      </w:r>
    </w:p>
    <w:p>
      <w:pPr>
        <w:pStyle w:val="BodyText"/>
        <w:widowControl/>
        <w:rPr>
          <w:b/>
        </w:rPr>
      </w:pPr>
      <w:r>
        <w:rPr>
          <w:b/>
        </w:rPr>
        <w:t>32. INDEPENDENT CONTRACTOR – NO PARTNERSHIP – STANDARD OF CARE</w:t>
      </w:r>
    </w:p>
    <w:p>
      <w:pPr>
        <w:pStyle w:val="Heading2"/>
        <w:widowControl/>
        <w:ind w:hanging="0" w:end="0"/>
        <w:rPr/>
      </w:pPr>
      <w:r>
        <w:rPr/>
      </w:r>
    </w:p>
    <w:p>
      <w:pPr>
        <w:pStyle w:val="Heading2"/>
        <w:widowControl/>
        <w:tabs>
          <w:tab w:val="left" w:pos="360" w:leader="none"/>
          <w:tab w:val="left" w:pos="1800" w:leader="none"/>
        </w:tabs>
        <w:ind w:hanging="360" w:start="360" w:end="0"/>
        <w:rPr/>
      </w:pPr>
      <w:r>
        <w:rPr/>
        <w:t>(a)</w:t>
        <w:tab/>
        <w:t xml:space="preserve">The Parties shall not be deemed in a relationship of partners or joint venturers by virtue of this Agreement or in a principal/agent relationship.  EPMI shall serve as an independent contractor in the performance of its obligations under this Agreement and does not undertake by this Agreement or otherwise to perform any regulatory or contractual obligation of MDEA, or to assume any liability for MDEA's business or operations.  Except as expressly stated in this Agreement, neither of the Parties shall have any separate obligations or duties, including without limitation any fiduciary duties, other implied duties or obligations to perform.  While EPMI intends to assist MDEA in optimizing the value of the Facilities by seeking to maximize Net Revenues, EPMI shall not be under any obligation to provide MDEA with the best prices or opportunities on any of the products to be sold or purchased hereunder, including, without limitation, Energy, Available Energy, Ancillary Services, Capacity and fuel.  MDEA hereby agrees that it is sophisticated, capable of assessing the risks and merits of the Transactions to be entered into pursuant to this Agreement and retains sole responsibility for deciding the types and terms of the Transactions to be consummated and whether to enter into and maintain the relationship formed by this Agreement and for securing the information necessary for it to make all decisions in relation hereto.  To the extent that EPMI (or its affiliates) offers advice or recommendations in connection with the Transactions, MDEA agrees that it shall not (i) rely exclusively on such advice in making its decisions or (ii) seek to hold EPMI liable as a result thereof.  EPMI shall not be responsible for any business opportunities that may not be realized by MDEA. </w:t>
      </w:r>
    </w:p>
    <w:p>
      <w:pPr>
        <w:pStyle w:val="Heading2"/>
        <w:widowControl/>
        <w:ind w:hanging="360" w:start="360" w:end="0"/>
        <w:rPr/>
      </w:pPr>
      <w:r>
        <w:rPr/>
        <w:t>(b)</w:t>
        <w:tab/>
        <w:t xml:space="preserve">MDEA acknowledges that its engagement of EPMI pursuant to this Agreement is non-exclusive with respect to other arrangements that EPMI may wish to enter into and EPMI may, notwithstanding this Agreement, engage in whatever activities it chooses (including without limitation trading the same Products or providing other services in the same geographic region (or other competing activities) for its own account or for the account of others), regardless of whether the same are competitive with MDEA.  EPMI is in the business of (i) buying and selling Energy, Capacity and Ancillary Services throughout the United States and (ii) providing QSE Services for itself and for third parties (some of whom may be competitors to MDEA) and fully expects to continue to enter into such transactions and perform such services during the Term of this Agreement.  EPMI shall not be under any obligation to disclose such activities to MDEA or to offer MDEA any interest in such activities.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MDEA hereby waives, relinquishes and renounces any such right or claim of notice or participation in such activities.  </w:t>
      </w:r>
    </w:p>
    <w:p>
      <w:pPr>
        <w:pStyle w:val="Heading2"/>
        <w:widowControl/>
        <w:tabs>
          <w:tab w:val="left" w:pos="360" w:leader="none"/>
          <w:tab w:val="left" w:pos="720" w:leader="none"/>
          <w:tab w:val="left" w:pos="1800" w:leader="none"/>
        </w:tabs>
        <w:ind w:hanging="360" w:start="360" w:end="0"/>
        <w:rPr/>
      </w:pPr>
      <w:r>
        <w:rPr/>
        <w:t>(c)</w:t>
        <w:tab/>
        <w:t xml:space="preserve">MDEA acknowledges that (i) EPMI's SERC trading book may, at any time, have multiple positions in SERC that may be opposite of some or all of MDEA's positions, including an overall position that may be long or short; and (ii) EPMI may act in a different manner for MDEA than EPMI would act for its own account.  </w:t>
      </w:r>
    </w:p>
    <w:p>
      <w:pPr>
        <w:pStyle w:val="Heading2"/>
        <w:widowControl/>
        <w:ind w:hanging="0" w:start="360" w:end="0"/>
        <w:rPr/>
      </w:pPr>
      <w:r>
        <w:rPr/>
        <w:t xml:space="preserve">MDEA acknowledges that EPMI's own transactions may, at any time, be opposite of some or all of MDEA's natural gas positions, including an overall position that may be long or short; and (ii) EPMI may act in a different manner for MDEA than EPMI would act for its own account.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MDEA hereby waives, relinquishes and renounces any such right or claim of notice or participation in such activities.  </w:t>
      </w:r>
    </w:p>
    <w:p>
      <w:pPr>
        <w:pStyle w:val="BodyText"/>
        <w:widowControl/>
        <w:rPr>
          <w:b/>
        </w:rPr>
      </w:pPr>
      <w:r>
        <w:rPr>
          <w:b/>
        </w:rPr>
        <w:t>33. NETTING – SET OFF</w:t>
      </w:r>
    </w:p>
    <w:p>
      <w:pPr>
        <w:pStyle w:val="BodyText"/>
        <w:widowControl/>
        <w:rPr>
          <w:b/>
        </w:rPr>
      </w:pPr>
      <w:r>
        <w:rPr>
          <w:b/>
        </w:rPr>
      </w:r>
    </w:p>
    <w:p>
      <w:pPr>
        <w:pStyle w:val="Heading2"/>
        <w:numPr>
          <w:ilvl w:val="0"/>
          <w:numId w:val="12"/>
        </w:numPr>
        <w:tabs>
          <w:tab w:val="clear" w:pos="1800"/>
          <w:tab w:val="left" w:pos="1440" w:leader="none"/>
        </w:tabs>
        <w:ind w:firstLine="720" w:start="0" w:end="0"/>
        <w:rPr/>
      </w:pPr>
      <w:r>
        <w:rPr/>
        <w:t xml:space="preserve">The Parties hereby agree that Parties shall have the right but not the obligation to set off and discharge mutual debts and payment obligations due and owing to each other pursuant to this Agreement and the MPPSA, through netting, in which case amounts owed by each Party to the other Party under any provisions of this Agreement or the MPPSA shall be netted so that only the excess amount remaining due shall be paid by the Party who owes it.  </w:t>
      </w:r>
    </w:p>
    <w:p>
      <w:pPr>
        <w:pStyle w:val="Heading2"/>
        <w:numPr>
          <w:ilvl w:val="0"/>
          <w:numId w:val="12"/>
        </w:numPr>
        <w:tabs>
          <w:tab w:val="clear" w:pos="1800"/>
          <w:tab w:val="left" w:pos="0" w:leader="none"/>
          <w:tab w:val="left" w:pos="1440" w:leader="none"/>
        </w:tabs>
        <w:ind w:firstLine="720" w:start="0" w:end="0"/>
        <w:rPr/>
      </w:pPr>
      <w:r>
        <w:rPr/>
        <w:t>If no mutual debts or payment obligations exist and only one Party owes a debt or obligation to the other during the monthly billing period under this Agreement or under the MPPSA, that Party shall pay such sum in full when due.</w:t>
      </w:r>
    </w:p>
    <w:p>
      <w:pPr>
        <w:pStyle w:val="Heading2"/>
        <w:numPr>
          <w:ilvl w:val="0"/>
          <w:numId w:val="12"/>
        </w:numPr>
        <w:tabs>
          <w:tab w:val="clear" w:pos="1800"/>
          <w:tab w:val="left" w:pos="0" w:leader="none"/>
          <w:tab w:val="left" w:pos="1440" w:leader="none"/>
        </w:tabs>
        <w:ind w:firstLine="720" w:start="0" w:end="0"/>
        <w:rPr/>
      </w:pPr>
      <w:r>
        <w:rPr/>
        <w:t>Each Party shall have a general right of set-off with respect to all amounts due and owing by each Party to the other Party under this Agreement or any other agreement between the Parties, including without limitation, the MPPSA.</w:t>
      </w:r>
    </w:p>
    <w:p>
      <w:pPr>
        <w:pStyle w:val="Heading2"/>
        <w:widowControl/>
        <w:ind w:hanging="0" w:end="0"/>
        <w:rPr/>
      </w:pPr>
      <w:r>
        <w:rPr/>
      </w:r>
    </w:p>
    <w:p>
      <w:pPr>
        <w:pStyle w:val="NormalIndent"/>
        <w:keepNext w:val="true"/>
        <w:keepLines/>
        <w:widowControl/>
        <w:ind w:firstLine="720" w:end="0"/>
        <w:rPr/>
      </w:pPr>
      <w:r>
        <w:rPr/>
        <w:t>IN WITNESS WHEREOF, the Parties hereto have caused this Agreement to be signed by their respective duly authorized representatives as of the date first above written.</w:t>
      </w:r>
    </w:p>
    <w:p>
      <w:pPr>
        <w:pStyle w:val="Normal"/>
        <w:keepNext w:val="true"/>
        <w:keepLines/>
        <w:widowControl/>
        <w:spacing w:before="0" w:after="0"/>
        <w:rPr/>
      </w:pPr>
      <w:r>
        <w:rPr/>
        <w:t xml:space="preserve">FRONTERA GENERATION LIMITED </w:t>
        <w:tab/>
        <w:tab/>
        <w:t>ENRON POWER MARKETING, INC.</w:t>
      </w:r>
    </w:p>
    <w:p>
      <w:pPr>
        <w:pStyle w:val="Normal"/>
        <w:keepNext w:val="true"/>
        <w:keepLines/>
        <w:widowControl/>
        <w:spacing w:before="0" w:after="0"/>
        <w:rPr/>
      </w:pPr>
      <w:r>
        <w:rPr/>
        <w:t>PARTNERSHIP</w:t>
      </w:r>
    </w:p>
    <w:p>
      <w:pPr>
        <w:pStyle w:val="Normal"/>
        <w:keepNext w:val="true"/>
        <w:keepLines/>
        <w:widowControl/>
        <w:spacing w:before="0" w:after="0"/>
        <w:rPr/>
      </w:pPr>
      <w:r>
        <w:rPr/>
      </w:r>
    </w:p>
    <w:p>
      <w:pPr>
        <w:pStyle w:val="Normal"/>
        <w:keepNext w:val="true"/>
        <w:keepLines/>
        <w:widowControl/>
        <w:spacing w:before="0" w:after="0"/>
        <w:rPr/>
      </w:pPr>
      <w:r>
        <w:rPr/>
      </w:r>
    </w:p>
    <w:p>
      <w:pPr>
        <w:pStyle w:val="Normal"/>
        <w:keepNext w:val="true"/>
        <w:keepLines/>
        <w:widowControl/>
        <w:spacing w:before="0" w:after="120"/>
        <w:rPr/>
      </w:pPr>
      <w:r>
        <w:rPr/>
        <w:t xml:space="preserve">By: </w:t>
      </w:r>
      <w:r>
        <w:rPr>
          <w:u w:val="single"/>
        </w:rPr>
        <w:tab/>
        <w:tab/>
        <w:tab/>
        <w:tab/>
        <w:tab/>
        <w:tab/>
      </w:r>
      <w:r>
        <w:rPr/>
        <w:tab/>
        <w:t>By:</w:t>
      </w:r>
      <w:r>
        <w:rPr>
          <w:u w:val="single"/>
        </w:rPr>
        <w:tab/>
        <w:tab/>
        <w:tab/>
        <w:tab/>
        <w:tab/>
        <w:tab/>
      </w:r>
    </w:p>
    <w:p>
      <w:pPr>
        <w:pStyle w:val="Normal"/>
        <w:keepNext w:val="true"/>
        <w:keepLines/>
        <w:widowControl/>
        <w:spacing w:before="0" w:after="120"/>
        <w:rPr/>
      </w:pPr>
      <w:r>
        <w:rPr/>
        <w:t>Name:</w:t>
        <w:tab/>
      </w:r>
      <w:r>
        <w:rPr>
          <w:u w:val="single"/>
        </w:rPr>
        <w:tab/>
        <w:tab/>
        <w:tab/>
        <w:tab/>
        <w:tab/>
      </w:r>
      <w:r>
        <w:rPr/>
        <w:tab/>
        <w:t>Name:</w:t>
      </w:r>
      <w:r>
        <w:rPr>
          <w:u w:val="single"/>
        </w:rPr>
        <w:tab/>
        <w:tab/>
        <w:tab/>
        <w:tab/>
        <w:tab/>
        <w:tab/>
      </w:r>
    </w:p>
    <w:p>
      <w:pPr>
        <w:pStyle w:val="Normal"/>
        <w:keepNext w:val="true"/>
        <w:keepLines/>
        <w:widowControl/>
        <w:spacing w:before="0" w:after="120"/>
        <w:rPr/>
      </w:pPr>
      <w:r>
        <w:rPr/>
        <w:t>Title:</w:t>
        <w:tab/>
      </w:r>
      <w:r>
        <w:rPr>
          <w:u w:val="single"/>
        </w:rPr>
        <w:tab/>
        <w:tab/>
        <w:tab/>
        <w:t xml:space="preserve">             </w:t>
        <w:tab/>
      </w:r>
      <w:r>
        <w:rPr/>
        <w:tab/>
        <w:t>Title:</w:t>
      </w:r>
      <w:r>
        <w:rPr>
          <w:u w:val="single"/>
        </w:rPr>
        <w:tab/>
        <w:tab/>
        <w:tab/>
        <w:tab/>
        <w:tab/>
        <w:tab/>
      </w:r>
    </w:p>
    <w:p>
      <w:pPr>
        <w:pStyle w:val="Normal"/>
        <w:keepNext w:val="true"/>
        <w:keepLines/>
        <w:widowControl/>
        <w:spacing w:before="0" w:after="120"/>
        <w:rPr/>
      </w:pPr>
      <w:r>
        <w:rPr/>
        <w:t>Date:</w:t>
        <w:tab/>
      </w:r>
      <w:r>
        <w:rPr>
          <w:u w:val="single"/>
        </w:rPr>
        <w:tab/>
        <w:tab/>
        <w:tab/>
        <w:tab/>
        <w:tab/>
      </w:r>
      <w:r>
        <w:rPr/>
        <w:tab/>
        <w:t>Date:</w:t>
      </w:r>
      <w:r>
        <w:rPr>
          <w:u w:val="single"/>
        </w:rPr>
        <w:tab/>
        <w:tab/>
        <w:tab/>
        <w:tab/>
        <w:tab/>
        <w:tab/>
      </w:r>
      <w:r>
        <w:br w:type="page"/>
      </w:r>
    </w:p>
    <w:p>
      <w:pPr>
        <w:pStyle w:val="Normal"/>
        <w:widowControl/>
        <w:jc w:val="center"/>
        <w:rPr/>
      </w:pPr>
      <w:r>
        <w:rPr/>
        <w:t>EXHIBIT A</w:t>
      </w:r>
    </w:p>
    <w:p>
      <w:pPr>
        <w:pStyle w:val="Normal"/>
        <w:widowControl/>
        <w:jc w:val="center"/>
        <w:rPr>
          <w:u w:val="single"/>
        </w:rPr>
      </w:pPr>
      <w:r>
        <w:rPr>
          <w:u w:val="single"/>
        </w:rPr>
        <w:t>MARKETING STRATEGY</w:t>
      </w:r>
      <w:r>
        <w:br w:type="page"/>
      </w:r>
    </w:p>
    <w:p>
      <w:pPr>
        <w:pStyle w:val="Normal"/>
        <w:widowControl/>
        <w:jc w:val="center"/>
        <w:rPr/>
      </w:pPr>
      <w:r>
        <w:rPr/>
        <w:t>EXHIBIT B</w:t>
      </w:r>
    </w:p>
    <w:p>
      <w:pPr>
        <w:pStyle w:val="Normal"/>
        <w:widowControl/>
        <w:jc w:val="center"/>
        <w:rPr>
          <w:u w:val="single"/>
        </w:rPr>
      </w:pPr>
      <w:r>
        <w:rPr>
          <w:u w:val="single"/>
        </w:rPr>
        <w:t>TRADING AND RISK POLICY</w:t>
      </w:r>
      <w:r>
        <w:br w:type="page"/>
      </w:r>
    </w:p>
    <w:p>
      <w:pPr>
        <w:pStyle w:val="Normal"/>
        <w:widowControl/>
        <w:jc w:val="center"/>
        <w:rPr/>
      </w:pPr>
      <w:r>
        <w:rPr/>
        <w:t>EXHIBIT C</w:t>
      </w:r>
    </w:p>
    <w:p>
      <w:pPr>
        <w:pStyle w:val="Normal"/>
        <w:widowControl/>
        <w:jc w:val="center"/>
        <w:rPr/>
      </w:pPr>
      <w:r>
        <w:rPr/>
        <w:t>LIST OF REQUIRED REPORTS</w:t>
      </w:r>
    </w:p>
    <w:p>
      <w:pPr>
        <w:pStyle w:val="Normal"/>
        <w:widowControl/>
        <w:jc w:val="center"/>
        <w:rPr/>
      </w:pPr>
      <w:r>
        <w:rPr/>
      </w:r>
    </w:p>
    <w:p>
      <w:pPr>
        <w:pStyle w:val="Normal"/>
        <w:widowControl/>
        <w:jc w:val="start"/>
        <w:rPr/>
      </w:pPr>
      <w:r>
        <w:rPr/>
        <w:t xml:space="preserve">EPMI will electronically mail or fax the following informational reports to MDEA’s Energy Coordinator the Business Day following the reported day by approximately 3:00 pm CPT.    </w:t>
      </w:r>
    </w:p>
    <w:p>
      <w:pPr>
        <w:pStyle w:val="DefaultText"/>
        <w:widowControl/>
        <w:overflowPunct w:val="true"/>
        <w:autoSpaceDE w:val="true"/>
        <w:spacing w:before="120" w:after="120"/>
        <w:textAlignment w:val="auto"/>
        <w:rPr/>
      </w:pPr>
      <w:r>
        <w:rPr/>
      </w:r>
    </w:p>
    <w:p>
      <w:pPr>
        <w:pStyle w:val="Normal"/>
        <w:widowControl/>
        <w:numPr>
          <w:ilvl w:val="0"/>
          <w:numId w:val="16"/>
        </w:numPr>
        <w:jc w:val="start"/>
        <w:rPr/>
      </w:pPr>
      <w:r>
        <w:rPr>
          <w:b/>
        </w:rPr>
        <w:t>Profit &amp; Loss, Risk Statement</w:t>
      </w:r>
      <w:r>
        <w:rPr/>
        <w:t xml:space="preserve"> – This statement will track daily and life to date changes in profit and loss as well as various risk indicators for MDEA’s power output for the Term of this Agreement.  These statements shall not include any information about  Existing Transactions.</w:t>
      </w:r>
    </w:p>
    <w:p>
      <w:pPr>
        <w:pStyle w:val="Normal"/>
        <w:widowControl/>
        <w:numPr>
          <w:ilvl w:val="0"/>
          <w:numId w:val="16"/>
        </w:numPr>
        <w:jc w:val="start"/>
        <w:rPr/>
      </w:pPr>
      <w:r>
        <w:rPr>
          <w:b/>
        </w:rPr>
        <w:t>Position Statement</w:t>
      </w:r>
      <w:r>
        <w:rPr/>
        <w:t xml:space="preserve"> – This statement will track the physical open position for MDEA’s power output for the Term of this Agreement.  These statements shall not include any information about Existing Transactions.</w:t>
      </w:r>
    </w:p>
    <w:p>
      <w:pPr>
        <w:pStyle w:val="Normal"/>
        <w:widowControl/>
        <w:numPr>
          <w:ilvl w:val="0"/>
          <w:numId w:val="16"/>
        </w:numPr>
        <w:jc w:val="start"/>
        <w:rPr/>
      </w:pPr>
      <w:r>
        <w:rPr>
          <w:b/>
        </w:rPr>
        <w:t>Schedule of Trades</w:t>
      </w:r>
      <w:r>
        <w:rPr/>
        <w:t xml:space="preserve"> – This schedule will track the daily power trades from MDEA.</w:t>
      </w:r>
    </w:p>
    <w:p>
      <w:pPr>
        <w:pStyle w:val="DefaultText"/>
        <w:widowControl/>
        <w:overflowPunct w:val="true"/>
        <w:autoSpaceDE w:val="true"/>
        <w:spacing w:before="120" w:after="120"/>
        <w:textAlignment w:val="auto"/>
        <w:rPr/>
      </w:pPr>
      <w:r>
        <w:rPr/>
      </w:r>
    </w:p>
    <w:p>
      <w:pPr>
        <w:pStyle w:val="DefaultText"/>
        <w:widowControl/>
        <w:overflowPunct w:val="true"/>
        <w:autoSpaceDE w:val="true"/>
        <w:spacing w:before="120" w:after="120"/>
        <w:textAlignment w:val="auto"/>
        <w:rPr/>
      </w:pPr>
      <w:r>
        <w:rPr/>
        <w:t>WHILE EPMI WILL ENDEAVOR TO PROVIDE RELIABLE INFORMATION IN THE REQUIRED REPORTS, EPMI SHALL NOT RESPONSIBLE FOR ANY INACCURATE INFORMATION OR FOR ANY ACTIONS OR INACTION BY FRONTERA BASED ON THESE REPORTS.  FRONTERA IS EXPECTED TO VERIFY THE ACCURACY OF INFORMATION CONTAINED IN THE REQUIRED REPORTS AND TO PROMPTLY NOTIFY EPMI OF ANY INCONSISTENCY OR ERRORS THAT IT MAY DISCOVER.  IT IS IMPORTANT TO NOTE THAT THESE REPORTS WILL BE BASED ON MARKET INFORMATION THAT EPMI ESTIMATES AND THEREFORE THESE REPORTS ARE ONLY ESTIMATES TO BE USED AS ROUGH INDICATORS AND NOT THOROUGH ANALYSIS THAT COULD BE USED FOR FRONTERA’S RISK POLICY.  FRONTERA MUST CONDUCT ITS OWN RISK ANALYSIS TO DETERMINE FRONTERA’S ACTIONS IN REGARD TO ITS RISK POLICY.  DUE TO EPMI’S PROPRIETARY INFORMATION CONTAINED IN MANY OF THE FORMULAS THAT ARE USED TO CALCULATE THE INFORMATION CONTAINED IN THESE REPORTS, EPMI WILL NOT BE ABLE TO PROVIDE THE NECESSARY DETAILED BACKGROUND INFORMATION IN ORDER FOR FRONTERA TO ANALYZE HOW THESE REPORT FIGURES WERE CALCULATED.</w:t>
      </w:r>
    </w:p>
    <w:p>
      <w:pPr>
        <w:pStyle w:val="Normal"/>
        <w:widowControl/>
        <w:jc w:val="center"/>
        <w:rPr>
          <w:u w:val="single"/>
        </w:rPr>
      </w:pPr>
      <w:r>
        <w:rPr>
          <w:u w:val="single"/>
        </w:rPr>
      </w:r>
      <w:r>
        <w:br w:type="page"/>
      </w:r>
    </w:p>
    <w:p>
      <w:pPr>
        <w:pStyle w:val="Normal"/>
        <w:widowControl/>
        <w:jc w:val="center"/>
        <w:rPr/>
      </w:pPr>
      <w:r>
        <w:rPr/>
        <w:t>EXHIBIT D</w:t>
      </w:r>
    </w:p>
    <w:p>
      <w:pPr>
        <w:pStyle w:val="Normal"/>
        <w:widowControl/>
        <w:jc w:val="center"/>
        <w:rPr>
          <w:u w:val="single"/>
        </w:rPr>
      </w:pPr>
      <w:r>
        <w:rPr>
          <w:u w:val="single"/>
        </w:rPr>
        <w:t>FUEL MANAGEMENT PLAN</w:t>
      </w:r>
      <w:r>
        <w:br w:type="page"/>
      </w:r>
    </w:p>
    <w:p>
      <w:pPr>
        <w:pStyle w:val="Normal"/>
        <w:widowControl/>
        <w:jc w:val="center"/>
        <w:rPr>
          <w:u w:val="single"/>
        </w:rPr>
      </w:pPr>
      <w:r>
        <w:rPr>
          <w:u w:val="single"/>
        </w:rPr>
        <w:t>EXHIBIT E</w:t>
      </w:r>
    </w:p>
    <w:p>
      <w:pPr>
        <w:pStyle w:val="Normal"/>
        <w:tabs>
          <w:tab w:val="clear" w:pos="720"/>
          <w:tab w:val="left" w:pos="6930" w:leader="none"/>
        </w:tabs>
        <w:jc w:val="center"/>
        <w:rPr>
          <w:u w:val="single"/>
        </w:rPr>
      </w:pPr>
      <w:r>
        <w:rPr>
          <w:u w:val="single"/>
        </w:rPr>
        <w:t>FORM OF PARENT GUARANTY (EPMI)</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center"/>
        <w:rPr>
          <w:b/>
          <w:u w:val="single"/>
        </w:rPr>
      </w:pPr>
      <w:r>
        <w:rPr>
          <w:b/>
          <w:u w:val="single"/>
        </w:rPr>
        <w:t>[USE FORM OF ENRON CORP GUARANTY PREVIOUSLY SUBMITTED]</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b/>
          <w:u w:val="single"/>
        </w:rPr>
      </w:pPr>
      <w:r>
        <w:rPr>
          <w:b/>
          <w:u w:val="single"/>
        </w:rPr>
      </w:r>
      <w:r>
        <w:br w:type="page"/>
      </w:r>
    </w:p>
    <w:p>
      <w:pPr>
        <w:pStyle w:val="Normal"/>
        <w:keepLines/>
        <w:widowControl/>
        <w:jc w:val="center"/>
        <w:rPr>
          <w:u w:val="single"/>
        </w:rPr>
      </w:pPr>
      <w:r>
        <w:rPr>
          <w:u w:val="single"/>
        </w:rPr>
        <w:t>EXHIBIT F</w:t>
      </w:r>
    </w:p>
    <w:p>
      <w:pPr>
        <w:pStyle w:val="Normal"/>
        <w:keepLines/>
        <w:widowControl/>
        <w:jc w:val="center"/>
        <w:rPr>
          <w:u w:val="single"/>
        </w:rPr>
      </w:pPr>
      <w:r>
        <w:rPr>
          <w:u w:val="single"/>
        </w:rPr>
        <w:t>ACCOUNTING CHART</w:t>
      </w:r>
      <w:r>
        <w:br w:type="page"/>
      </w:r>
    </w:p>
    <w:p>
      <w:pPr>
        <w:pStyle w:val="Normal"/>
        <w:keepLines/>
        <w:widowControl/>
        <w:jc w:val="center"/>
        <w:rPr>
          <w:u w:val="single"/>
        </w:rPr>
      </w:pPr>
      <w:r>
        <w:rPr>
          <w:u w:val="single"/>
        </w:rPr>
        <w:t>EXHIBIT G</w:t>
      </w:r>
    </w:p>
    <w:p>
      <w:pPr>
        <w:pStyle w:val="Normal"/>
        <w:keepLines/>
        <w:widowControl/>
        <w:jc w:val="center"/>
        <w:rPr>
          <w:u w:val="single"/>
        </w:rPr>
      </w:pPr>
      <w:r>
        <w:rPr>
          <w:u w:val="single"/>
        </w:rPr>
        <w:t>FORM OF PARENT GUARANTY (FRONTERA)</w:t>
      </w:r>
      <w:r>
        <w:br w:type="page"/>
      </w:r>
    </w:p>
    <w:p>
      <w:pPr>
        <w:pStyle w:val="Normal"/>
        <w:jc w:val="center"/>
        <w:rPr>
          <w:b/>
          <w:u w:val="single"/>
        </w:rPr>
      </w:pPr>
      <w:r>
        <w:rPr>
          <w:b/>
          <w:u w:val="single"/>
        </w:rPr>
      </w:r>
    </w:p>
    <w:p>
      <w:pPr>
        <w:pStyle w:val="Normal"/>
        <w:jc w:val="center"/>
        <w:rPr>
          <w:b/>
        </w:rPr>
      </w:pPr>
      <w:r>
        <w:rPr>
          <w:b/>
        </w:rPr>
        <w:t>APPENDIX A TO</w:t>
      </w:r>
    </w:p>
    <w:p>
      <w:pPr>
        <w:pStyle w:val="Normal"/>
        <w:jc w:val="center"/>
        <w:rPr>
          <w:b/>
        </w:rPr>
      </w:pPr>
      <w:r>
        <w:rPr>
          <w:b/>
        </w:rPr>
        <w:t>ENERGY MANAGEMENT SERVICES AGREEMENT</w:t>
      </w:r>
    </w:p>
    <w:p>
      <w:pPr>
        <w:pStyle w:val="Normal"/>
        <w:rPr/>
      </w:pPr>
      <w:r>
        <w:rPr/>
      </w:r>
    </w:p>
    <w:p>
      <w:pPr>
        <w:pStyle w:val="NumContinue"/>
        <w:jc w:val="both"/>
        <w:rPr/>
      </w:pPr>
      <w:r>
        <w:rPr/>
        <w:t>This Appendix A establishes the rights, duties and responsibilities of the Parties relating to services provided by EPMI as the designated QSE associated with the Facilities.  For purposes of this Agreement, the following definitions shall apply:</w:t>
      </w:r>
    </w:p>
    <w:p>
      <w:pPr>
        <w:pStyle w:val="NumContinue"/>
        <w:jc w:val="both"/>
        <w:rPr/>
      </w:pPr>
      <w:r>
        <w:rPr/>
        <w:tab/>
        <w:t xml:space="preserve"> “Protocols” shall mean the SERC Protocols duly adopted by SERC, including any attachments or exhibits referenced thereby, as amended from time to time, containing the scheduling, operating, planning, reliability, and settlement (including customer registration) policies, rules, guidelines, procedures, standards, and criteria of SERC.  For the purposes of determining responsibilities and rights at a given time, the Protocols, as amended in accordance with the change procedure(s) described in the Protocols, in effect at the time of the performance or non-performance of an action, shall govern with respect to that action.  </w:t>
      </w:r>
    </w:p>
    <w:p>
      <w:pPr>
        <w:pStyle w:val="NumContinue"/>
        <w:jc w:val="both"/>
        <w:rPr/>
      </w:pPr>
      <w:r>
        <w:rPr/>
        <w:t>“</w:t>
      </w:r>
      <w:r>
        <w:rPr/>
        <w:t xml:space="preserve">Protocols and Rules” shall mean such Protocols together with such other rules, regulations, procedures, operating guides and guidelines established in relation to the Protocols by the SERC ISO or Public Utilities Commission of Texas (“PUCT”) which are binding on the respective Parties. </w:t>
      </w:r>
    </w:p>
    <w:p>
      <w:pPr>
        <w:pStyle w:val="BodyText"/>
        <w:ind w:firstLine="720" w:end="0"/>
        <w:rPr/>
      </w:pPr>
      <w:r>
        <w:rPr/>
        <w:t>Unless herein defined, all definitions and acronyms found in the Protocols shall be incorporated by reference into this Appendix A. Additionally, in this Appendix A, the rules of construction stated in Protocols Section 1.6 apply, unless expressly provided otherwise or unless the context clearly requires otherwise.</w:t>
      </w:r>
    </w:p>
    <w:p>
      <w:pPr>
        <w:pStyle w:val="NumContinue"/>
        <w:jc w:val="both"/>
        <w:rPr/>
      </w:pPr>
      <w:r>
        <w:rPr/>
      </w:r>
    </w:p>
    <w:p>
      <w:pPr>
        <w:pStyle w:val="Normal"/>
        <w:jc w:val="center"/>
        <w:rPr>
          <w:u w:val="single"/>
        </w:rPr>
      </w:pPr>
      <w:r>
        <w:rPr>
          <w:b/>
          <w:u w:val="single"/>
        </w:rPr>
        <w:t>ARTICLE 1 – SERVICES, FEES AND CREDIT SUPPORT</w:t>
      </w:r>
    </w:p>
    <w:p>
      <w:pPr>
        <w:pStyle w:val="Normal"/>
        <w:numPr>
          <w:ilvl w:val="1"/>
          <w:numId w:val="13"/>
        </w:numPr>
        <w:rPr/>
      </w:pPr>
      <w:r>
        <w:rPr>
          <w:u w:val="single"/>
        </w:rPr>
        <w:t>QSE Qualification - Mock Market Simulation Testing and Retail Pilot Test Program Implementation.</w:t>
      </w:r>
      <w:r>
        <w:rPr>
          <w:sz w:val="22"/>
        </w:rPr>
        <w:t xml:space="preserve"> </w:t>
      </w:r>
    </w:p>
    <w:p>
      <w:pPr>
        <w:pStyle w:val="BodyText3"/>
        <w:rPr/>
      </w:pPr>
      <w:r>
        <w:rPr/>
        <w:t>MDEA is required to comply with the Protocols and Rules.  Under the Protocols and Rules, certain entities that qualify are entitled to be designated as a QSE and thus entitled to perform certain actions in connection with the scheduling of the Facilities deliveries and receipts of Products with counterparties in SERC, including the specific functions set forth in Section 1.2.  Consistent with the terms of the Agreement, EPMI agrees to provide QSE Services for and on behalf of MDEA in connection with all Transactions.  The Parties acknowledge that SERC is conducting certain market simulations and pilot programs associated with operating as the SERC ISO.  EPMI agrees to participate on behalf of Customer in all three phases (Simulation Stages 1 and 2 and Parallel Stage) of SERC’s Mock Market Simulation Testing (projected to begin in April 2001 and continue through May 2001) subject to SERC’s approval of EPMI’s participation on behalf of Customer.  Prior to the initiation of the Retail Pilot Test Program Implementation in SERC (projected to be June 1, 2001), EPMI will satisfy all of the SERC Protocol requirements for QSE certification to perform the duties under this Agreement.  During the Retail Pilot Test Program Implementation, with respect to services provided to Customer, EPMI will comply (in all material respects) with applicable rules, guidelines, and procedures established by SERC including all pertinent scheduling, dispatching, reliability, ancillary service requirements and settlement policies.</w:t>
      </w:r>
    </w:p>
    <w:p>
      <w:pPr>
        <w:pStyle w:val="Normal"/>
        <w:rPr/>
      </w:pPr>
      <w:r>
        <w:rPr/>
      </w:r>
    </w:p>
    <w:p>
      <w:pPr>
        <w:pStyle w:val="Normal"/>
        <w:numPr>
          <w:ilvl w:val="1"/>
          <w:numId w:val="13"/>
        </w:numPr>
        <w:ind w:firstLine="360" w:start="0" w:end="0"/>
        <w:rPr/>
      </w:pPr>
      <w:r>
        <w:rPr>
          <w:u w:val="single"/>
        </w:rPr>
        <w:t>Services Provided Following the Retail Pilot Test Program Implementation</w:t>
      </w:r>
      <w:r>
        <w:rPr/>
        <w:t>.  Upon qualification as a QSE, EPMI will serve as QSE on behalf of Customer for the Term and will complete the following actions and provide the following QSE services and scheduling services to the extent required in accordance with the Protocols and Rules defined herein as the "</w:t>
      </w:r>
      <w:r>
        <w:rPr>
          <w:u w:val="single"/>
        </w:rPr>
        <w:t>Services</w:t>
      </w:r>
      <w:r>
        <w:rPr/>
        <w:t xml:space="preserve">", including the following: </w:t>
      </w:r>
    </w:p>
    <w:p>
      <w:pPr>
        <w:pStyle w:val="Normal"/>
        <w:numPr>
          <w:ilvl w:val="0"/>
          <w:numId w:val="18"/>
        </w:numPr>
        <w:ind w:hanging="450" w:start="1440" w:end="0"/>
        <w:rPr/>
      </w:pPr>
      <w:r>
        <w:rPr/>
        <w:t>Act as QSE for MDEA and shall handle any and all communication between SERC, SERC ISO and the Facilities;</w:t>
      </w:r>
    </w:p>
    <w:p>
      <w:pPr>
        <w:pStyle w:val="Normal"/>
        <w:numPr>
          <w:ilvl w:val="0"/>
          <w:numId w:val="18"/>
        </w:numPr>
        <w:ind w:hanging="450" w:start="1440" w:end="0"/>
        <w:rPr/>
      </w:pPr>
      <w:r>
        <w:rPr/>
        <w:t>Fulfill EPMI’s registration and certification requirements of SERC;</w:t>
      </w:r>
    </w:p>
    <w:p>
      <w:pPr>
        <w:pStyle w:val="Normal"/>
        <w:numPr>
          <w:ilvl w:val="0"/>
          <w:numId w:val="18"/>
        </w:numPr>
        <w:ind w:hanging="450" w:start="1440" w:end="0"/>
        <w:rPr/>
      </w:pPr>
      <w:r>
        <w:rPr/>
        <w:t>Complete the Connection Appendix A to the SERC Private Network and Site Survey request;</w:t>
      </w:r>
    </w:p>
    <w:p>
      <w:pPr>
        <w:pStyle w:val="Normal"/>
        <w:numPr>
          <w:ilvl w:val="0"/>
          <w:numId w:val="18"/>
        </w:numPr>
        <w:ind w:hanging="450" w:start="1440" w:end="0"/>
        <w:rPr/>
      </w:pPr>
      <w:r>
        <w:rPr/>
        <w:t>Maintain QSE financial security requirements (with appropriate indemnification rights exercisable with respect to Customer as stated in this Agreement);</w:t>
      </w:r>
    </w:p>
    <w:p>
      <w:pPr>
        <w:pStyle w:val="Normal"/>
        <w:numPr>
          <w:ilvl w:val="0"/>
          <w:numId w:val="18"/>
        </w:numPr>
        <w:ind w:hanging="450" w:start="1440" w:end="0"/>
        <w:rPr/>
      </w:pPr>
      <w:r>
        <w:rPr/>
        <w:t>Maintain a 24-hour, seven days per week scheduling and trading operation with qualified personnel;</w:t>
      </w:r>
    </w:p>
    <w:p>
      <w:pPr>
        <w:pStyle w:val="Normal"/>
        <w:numPr>
          <w:ilvl w:val="0"/>
          <w:numId w:val="18"/>
        </w:numPr>
        <w:ind w:hanging="450" w:start="1440" w:end="0"/>
        <w:rPr/>
      </w:pPr>
      <w:r>
        <w:rPr/>
        <w:t>Install, operate, and maintain all systems and infrastructure for proper performance of the duties under this Appendix A including technical interfaces with SERC pertinent to services provided hereunder;</w:t>
      </w:r>
    </w:p>
    <w:p>
      <w:pPr>
        <w:pStyle w:val="Normal"/>
        <w:numPr>
          <w:ilvl w:val="0"/>
          <w:numId w:val="18"/>
        </w:numPr>
        <w:ind w:hanging="450" w:start="1440" w:end="0"/>
        <w:rPr/>
      </w:pPr>
      <w:r>
        <w:rPr/>
        <w:t>Schedule with the SERC ISO for the delivery and transmission of Energy and Capacity from the Facilities relating to all Transactions;</w:t>
      </w:r>
    </w:p>
    <w:p>
      <w:pPr>
        <w:pStyle w:val="Normal"/>
        <w:numPr>
          <w:ilvl w:val="0"/>
          <w:numId w:val="18"/>
        </w:numPr>
        <w:ind w:hanging="450" w:start="1440" w:end="0"/>
        <w:rPr/>
      </w:pPr>
      <w:r>
        <w:rPr/>
        <w:t>Submit such AS bids/offers on Customer’s behalf to the SERC ISO as may be determined by MDEA’s Energy Coordinator;</w:t>
      </w:r>
    </w:p>
    <w:p>
      <w:pPr>
        <w:pStyle w:val="Normal"/>
        <w:numPr>
          <w:ilvl w:val="0"/>
          <w:numId w:val="18"/>
        </w:numPr>
        <w:ind w:hanging="450" w:start="1440" w:end="0"/>
        <w:rPr/>
      </w:pPr>
      <w:r>
        <w:rPr/>
        <w:t>Submit offers (as determined by MDEA’s Energy Coordinator) for Transmission Congestion Rights to the SERC ISO if the congestion threshold established by the Protocols (currently set at $20 million) has been exceeded;</w:t>
      </w:r>
    </w:p>
    <w:p>
      <w:pPr>
        <w:pStyle w:val="Normal"/>
        <w:numPr>
          <w:ilvl w:val="0"/>
          <w:numId w:val="18"/>
        </w:numPr>
        <w:ind w:hanging="450" w:start="1440" w:end="0"/>
        <w:rPr/>
      </w:pPr>
      <w:r>
        <w:rPr/>
        <w:t>Communication to MDEA all dispatch instructions for AS and in relation to SERC system emergencies; and</w:t>
      </w:r>
    </w:p>
    <w:p>
      <w:pPr>
        <w:pStyle w:val="Normal"/>
        <w:numPr>
          <w:ilvl w:val="0"/>
          <w:numId w:val="18"/>
        </w:numPr>
        <w:ind w:hanging="450" w:start="1440" w:end="0"/>
        <w:rPr/>
      </w:pPr>
      <w:r>
        <w:rPr/>
        <w:t xml:space="preserve">Communicate to Customer the market information provided by SERC to EPMI pertinent to the services EPMI provides as QSE for Customer; provided that EPMI shall be under no obligation to deliver any such information to the extent that it is aggregated or otherwise combined with that of EPMI’s other customers of QSE services.  Such access shall be limited to information that EPMI has a legal right to provide Customer. </w:t>
      </w:r>
    </w:p>
    <w:p>
      <w:pPr>
        <w:pStyle w:val="Normal"/>
        <w:numPr>
          <w:ilvl w:val="1"/>
          <w:numId w:val="13"/>
        </w:numPr>
        <w:ind w:firstLine="360" w:start="0" w:end="0"/>
        <w:rPr/>
      </w:pPr>
      <w:r>
        <w:rPr>
          <w:u w:val="single"/>
        </w:rPr>
        <w:t>EPMI Compliance</w:t>
      </w:r>
      <w:r>
        <w:rPr/>
        <w:t>.  EPMI shall adhere to Protocols and Rules and with all applicable federal, state and local laws and regulations.</w:t>
      </w:r>
    </w:p>
    <w:p>
      <w:pPr>
        <w:pStyle w:val="Normal"/>
        <w:numPr>
          <w:ilvl w:val="1"/>
          <w:numId w:val="13"/>
        </w:numPr>
        <w:ind w:firstLine="360" w:start="0" w:end="0"/>
        <w:rPr/>
      </w:pPr>
      <w:r>
        <w:rPr>
          <w:u w:val="single"/>
        </w:rPr>
        <w:t>EPMI Contact Persons</w:t>
      </w:r>
      <w:r>
        <w:rPr/>
        <w:t>.  EPMI hereby designates the two (2) persons whose names and contact information are shown in Schedule “A” as "</w:t>
      </w:r>
      <w:r>
        <w:rPr>
          <w:u w:val="single"/>
        </w:rPr>
        <w:t>EPMI Contact Persons</w:t>
      </w:r>
      <w:r>
        <w:rPr/>
        <w:t>".  The EPMI Contact Persons (One of whom will be the EPMI Energy Coordinator under the Agreement) will communicate with Customer on behalf of EPMI as to all matters under this Appendix A during the Term.  EPMI may designate a substitute contact person upon written notice to Customer.  An EPMI Contact Person shall be available during regular business hours and a representative of EPMI may be reached during non-business hours by calling the hotline telephone number set forth in Schedule “A”.</w:t>
      </w:r>
    </w:p>
    <w:p>
      <w:pPr>
        <w:pStyle w:val="Normal"/>
        <w:numPr>
          <w:ilvl w:val="1"/>
          <w:numId w:val="13"/>
        </w:numPr>
        <w:ind w:firstLine="360" w:start="0" w:end="0"/>
        <w:rPr/>
      </w:pPr>
      <w:r>
        <w:rPr>
          <w:u w:val="single"/>
        </w:rPr>
        <w:t>Additional Services</w:t>
      </w:r>
      <w:r>
        <w:rPr/>
        <w:t>.  If Customer requests EPMI to perform any service that is not a Service described in Section 1.2 of this Appendix A, then EPMI may provide such service as an additional service ("</w:t>
      </w:r>
      <w:r>
        <w:rPr>
          <w:u w:val="single"/>
        </w:rPr>
        <w:t>Additional Service</w:t>
      </w:r>
      <w:r>
        <w:rPr/>
        <w:t xml:space="preserve">") for a fee and on additional or separate terms and conditions as may be mutually agreed by the Parties prior to EPMI’s performance of such Additional Service.  </w:t>
      </w:r>
    </w:p>
    <w:p>
      <w:pPr>
        <w:pStyle w:val="Normal"/>
        <w:numPr>
          <w:ilvl w:val="1"/>
          <w:numId w:val="13"/>
        </w:numPr>
        <w:ind w:firstLine="360" w:start="0" w:end="0"/>
        <w:rPr/>
      </w:pPr>
      <w:r>
        <w:rPr>
          <w:u w:val="single"/>
        </w:rPr>
        <w:t>Charge Reimbursement</w:t>
      </w:r>
      <w:r>
        <w:rPr/>
        <w:t>.  Consistent with Section 16 of the Agreement, Customer will reimburse EPMI for all applicable SERC ISO assessed charges, costs and penalties assessed or imposed on EPMI and amounts used by EPMI to resolve financial obligations for services provided by EPMI, including all market services procured through the SERC ISO (collectively, “Charge Reimbursements”).  Charges shall include any and all applicable charges assessed or imposed detailed in the SERC Protocols.</w:t>
      </w:r>
    </w:p>
    <w:p>
      <w:pPr>
        <w:pStyle w:val="Normal"/>
        <w:numPr>
          <w:ilvl w:val="1"/>
          <w:numId w:val="13"/>
        </w:numPr>
        <w:ind w:firstLine="360" w:start="0" w:end="0"/>
        <w:rPr/>
      </w:pPr>
      <w:r>
        <w:rPr>
          <w:u w:val="single"/>
        </w:rPr>
        <w:t>Fee Payments and Charge Reimbursement.</w:t>
      </w:r>
      <w:r>
        <w:rPr/>
        <w:t xml:space="preserve">  EPMI shall calculate the estimated SERC ISO assessed charges for each day, including those charges listed in Section 1.6 above, based upon the invoices received by EPMI from the SERC ISO. EPMI shall render to Customer (electronically, by facsimile or other acceptable means agreed between the Parties), a statement setting forth the total charges for any Services provided under this Appendix A and any estimated Charge Reimbursements. EPMI and MDEA will make or receive these payments in accordance with Section 16 of the Agreement.  The estimated charges shall be adjusted to actual charges upon receipt of actual data from the SERC ISO.  In no event will any payments due from EPMI to Customer be paid prior to receipt of such payments from the SERC ISO.  EPMI will use commercially reasonable efforts to work with SERC to effectuate receipt of any delinquent payments, but notwithstanding any other provision in this Appendix A, EPMI shall not be responsible to Customer for any payments not received by EPMI from the SERC ISO.</w:t>
      </w:r>
      <w:r>
        <w:rPr>
          <w:b/>
          <w:smallCaps/>
        </w:rPr>
        <w:t xml:space="preserve"> </w:t>
      </w:r>
    </w:p>
    <w:p>
      <w:pPr>
        <w:pStyle w:val="Normal"/>
        <w:numPr>
          <w:ilvl w:val="1"/>
          <w:numId w:val="13"/>
        </w:numPr>
        <w:ind w:firstLine="360" w:start="0" w:end="0"/>
        <w:rPr/>
      </w:pPr>
      <w:r>
        <w:rPr>
          <w:u w:val="single"/>
        </w:rPr>
        <w:t>Reliance on Facilities Information</w:t>
      </w:r>
      <w:r>
        <w:rPr/>
        <w:t>.  EPMI will rely on the Customer providing accurate information regarding the Facilities and any other information pursuant to the Agreement (“Facilities Information”) necessary for the provision of Customer Information (as defined in Section 2.2) to the SERC ISO and for EPMI to perform its obligations under this Appendix A.  EPMI has no obligation whatsoever to verify or to inquire as to the accuracy or completeness of any Facilities Information.  Except as provided herein, EPMI will not have the obligation to review, interpret or advise Customer or any third party concerning any agreements.  EPMI's sole obligation relating to Facilities Information and the Customer Information is to utilize the data in accordance with the terms and conditions of this Appendix A.  In any event, EPMI shall have no liability to any person or entity for any action or omission taken in reliance upon the Facilities Information or the Customer Information and Customer shall indemnify EPMI for any and all costs or expenses incurred by EPMI acting in reliance upon such information.</w:t>
      </w:r>
    </w:p>
    <w:p>
      <w:pPr>
        <w:pStyle w:val="Normal"/>
        <w:numPr>
          <w:ilvl w:val="1"/>
          <w:numId w:val="13"/>
        </w:numPr>
        <w:ind w:firstLine="360" w:start="0" w:end="0"/>
        <w:rPr>
          <w:u w:val="single"/>
        </w:rPr>
      </w:pPr>
      <w:r>
        <w:rPr>
          <w:u w:val="single"/>
        </w:rPr>
        <w:t>Customer Inaction</w:t>
      </w:r>
      <w:r>
        <w:rPr/>
        <w:t>.  In the event that neither Customer Contact Person (designated by Customer pursuant to Section 2.1 below) can be reached, EPMI may, in its sole discretion, determine whether or not to take certain action as to any Service under this Appendix A and/or schedule based on the same Facilities Information that was provided by Customer on the previous day in the event EPMI does not receive timely response from Customer as to any given day’s schedule.  Customer will retain responsibility for such action or inaction of EPMI.  In the event EPMI has furnished Customer with the information to determine whether or not to take certain action relating to any Service and Customer does not respond to EPMI, Customer shall be solely responsible for the consequences of Customer taking or not taking such action, including, without limitation, any penalties or interest.</w:t>
      </w:r>
    </w:p>
    <w:p>
      <w:pPr>
        <w:pStyle w:val="Normal"/>
        <w:numPr>
          <w:ilvl w:val="1"/>
          <w:numId w:val="13"/>
        </w:numPr>
        <w:ind w:firstLine="360" w:start="0" w:end="0"/>
        <w:rPr/>
      </w:pPr>
      <w:r>
        <w:rPr>
          <w:u w:val="single"/>
        </w:rPr>
        <w:t xml:space="preserve"> “</w:t>
      </w:r>
      <w:r>
        <w:rPr>
          <w:u w:val="single"/>
        </w:rPr>
        <w:t>Regulatory Event”, Material Revisions to Protocols</w:t>
      </w:r>
      <w:r>
        <w:rPr/>
        <w:t xml:space="preserve">.  If (1) any provision of this Appendix A is declared or rendered unlawful by any applicable court of law or regulatory agency or deemed unlawful because of a statutory or regulatory change, or (2) any material revision to the SERC Protocols occurs (individually or collectively, such events referred to as a "Regulatory Event"); then the Parties agree to negotiate in good faith and amend this Appendix A and/or the other portions of the Agreement, if necessary, to give effect to the original intentions and relative economic benefits as contemplated by the Parties wherever possible and conform to all applicable SERC scheduling guidelines, Protocols and Rules. If the Parties are unable to agree upon such an amendment, either Party shall have the right to terminate this Agreement. </w:t>
      </w:r>
    </w:p>
    <w:p>
      <w:pPr>
        <w:pStyle w:val="Normal"/>
        <w:jc w:val="center"/>
        <w:rPr/>
      </w:pPr>
      <w:r>
        <w:rPr/>
        <w:t>ARTICLE 2 - CUSTOMER RESPONSIBILITIES</w:t>
      </w:r>
    </w:p>
    <w:p>
      <w:pPr>
        <w:pStyle w:val="Normal"/>
        <w:tabs>
          <w:tab w:val="clear" w:pos="720"/>
          <w:tab w:val="left" w:pos="1080" w:leader="none"/>
        </w:tabs>
        <w:ind w:firstLine="450" w:end="0"/>
        <w:rPr/>
      </w:pPr>
      <w:r>
        <w:rPr/>
        <w:t>2.1</w:t>
        <w:tab/>
      </w:r>
      <w:r>
        <w:rPr>
          <w:u w:val="single"/>
        </w:rPr>
        <w:t>Customer Contact Persons</w:t>
      </w:r>
      <w:r>
        <w:rPr/>
        <w:t>.  Customer designates the two (2) persons as "</w:t>
      </w:r>
      <w:r>
        <w:rPr>
          <w:u w:val="single"/>
        </w:rPr>
        <w:t>Customer Contact Persons</w:t>
      </w:r>
      <w:r>
        <w:rPr/>
        <w:t>" as shown in Schedule “A”. These Customer Contact Persons (One of whom will be MDEA’s Energy Coordinator under the Agreement) will be authorized to make binding decisions and communicate with EPMI on behalf of Customer for all during the Term.  Customer may designate a substitute contact person upon written notice to EPMI.  A Customer Contact Person shall be available during regular and non-business hours.</w:t>
      </w:r>
    </w:p>
    <w:p>
      <w:pPr>
        <w:pStyle w:val="Normal"/>
        <w:tabs>
          <w:tab w:val="clear" w:pos="720"/>
          <w:tab w:val="left" w:pos="1080" w:leader="none"/>
        </w:tabs>
        <w:ind w:firstLine="450" w:end="0"/>
        <w:rPr/>
      </w:pPr>
      <w:r>
        <w:rPr/>
        <w:t>2.2</w:t>
        <w:tab/>
      </w:r>
      <w:r>
        <w:rPr>
          <w:u w:val="single"/>
        </w:rPr>
        <w:t>Provision of Customer Information</w:t>
      </w:r>
      <w:r>
        <w:rPr/>
        <w:t>.  Customer will coordinate with EPMI pursuant to the Agreement to provide Facilities Information and otherwise assist in the provision of the following "</w:t>
      </w:r>
      <w:r>
        <w:rPr>
          <w:u w:val="single"/>
        </w:rPr>
        <w:t>Customer Information</w:t>
      </w:r>
      <w:r>
        <w:rPr/>
        <w:t>" to EPMI:</w:t>
      </w:r>
    </w:p>
    <w:p>
      <w:pPr>
        <w:pStyle w:val="Normal"/>
        <w:tabs>
          <w:tab w:val="clear" w:pos="720"/>
          <w:tab w:val="left" w:pos="1080" w:leader="none"/>
        </w:tabs>
        <w:ind w:start="720" w:end="720"/>
        <w:rPr/>
      </w:pPr>
      <w:r>
        <w:rPr/>
        <w:t>(a)</w:t>
        <w:tab/>
        <w:t xml:space="preserve">Customer's certified meter data; </w:t>
      </w:r>
    </w:p>
    <w:p>
      <w:pPr>
        <w:pStyle w:val="Normal"/>
        <w:numPr>
          <w:ilvl w:val="0"/>
          <w:numId w:val="10"/>
        </w:numPr>
        <w:ind w:hanging="360" w:start="1080" w:end="720"/>
        <w:rPr/>
      </w:pPr>
      <w:r>
        <w:rPr/>
        <w:t>all information necessary or appropriate for EPMI to comply with the SERC rules, including Protocols.  Such information shall be provided on the time schedule outlined in the attached Schedule "B"; and</w:t>
      </w:r>
    </w:p>
    <w:p>
      <w:pPr>
        <w:pStyle w:val="Normal"/>
        <w:ind w:start="720" w:end="720"/>
        <w:rPr/>
      </w:pPr>
      <w:r>
        <w:rPr/>
        <w:t>(c) any other information requested by EPMI.</w:t>
      </w:r>
    </w:p>
    <w:p>
      <w:pPr>
        <w:pStyle w:val="BodyText3"/>
        <w:rPr/>
      </w:pPr>
      <w:r>
        <w:rPr/>
        <w:t>All data must be provided to EPMI in the SERC ISO required data format in compliance with the SERC ISO template and validation rules.  As technology developments occur from time to time, such format may be changed.  Customer must retain historical meter data as it applies to the Protocols and consistent with the requirements of the Protocols.  In the event that the SERC ISO conducts an audit of EPMI, Customer must provide to EPMI all information necessary or appropriate to comply with the audit, including the detailed meter data including meter identification numbers for each meter in a manner consistent with the Protocols.</w:t>
      </w:r>
    </w:p>
    <w:p>
      <w:pPr>
        <w:pStyle w:val="ArticleL3"/>
        <w:widowControl/>
        <w:tabs>
          <w:tab w:val="clear" w:pos="720"/>
        </w:tabs>
        <w:ind w:hanging="0" w:start="0" w:end="0"/>
        <w:jc w:val="both"/>
        <w:rPr/>
      </w:pPr>
      <w:r>
        <w:rPr/>
        <w:t>Customer is responsible, at its expense, for providing installed meters (or having them provided) and the maintenance thereof for communications relating to resource data with the SERC ISO and EPMI pursuant to the Protocols ("</w:t>
      </w:r>
      <w:r>
        <w:rPr>
          <w:u w:val="single"/>
        </w:rPr>
        <w:t>Metering Equipment</w:t>
      </w:r>
      <w:r>
        <w:rPr/>
        <w:t>").  The Metering Equipment must (i) conform in all material respects to the guidelines of SERC, which as of the Effective Date would be the most current version of a document titled, "[need name of guidelines]"; and (ii) conform to the Protocols' requirements for metering.</w:t>
      </w:r>
    </w:p>
    <w:p>
      <w:pPr>
        <w:pStyle w:val="ArticleL3"/>
        <w:widowControl/>
        <w:tabs>
          <w:tab w:val="clear" w:pos="720"/>
        </w:tabs>
        <w:ind w:hanging="0" w:start="0" w:end="0"/>
        <w:jc w:val="both"/>
        <w:rPr/>
      </w:pPr>
      <w:r>
        <w:rPr/>
        <w:t>If the Metering Equipment is not within the standards established by SERC, Customer shall cause the repair or replacement of it, at Customer’s expense.  If the Metering Equipment fails to register or, upon test, is not within the accuracy standards established in the Protocols, EPMI shall follow the SERC ISO’s procedures for making an adjustment correcting all measurements made during the inaccurate duration of measurement.  EPMI may require Customer to test the Metering Equipment no more than one time every twelve months and shall be permitted to be present at all such tests.</w:t>
      </w:r>
    </w:p>
    <w:p>
      <w:pPr>
        <w:pStyle w:val="Normal"/>
        <w:numPr>
          <w:ilvl w:val="1"/>
          <w:numId w:val="19"/>
        </w:numPr>
        <w:ind w:firstLine="720" w:start="0" w:end="0"/>
        <w:rPr>
          <w:color w:val="000000"/>
        </w:rPr>
      </w:pPr>
      <w:r>
        <w:rPr>
          <w:color w:val="000000"/>
          <w:u w:val="single"/>
        </w:rPr>
        <w:t>Third Party Consents</w:t>
      </w:r>
      <w:r>
        <w:rPr/>
        <w:t>.  Customer shall take all actions necessary with regard to all relevant third parties, including designating EPMI as its QSE to the SERC ISO, and shall provide EPMI with satisfactory documentation of same, to allow and designate EPMI to provide the Services under this Appendix A.</w:t>
      </w:r>
    </w:p>
    <w:p>
      <w:pPr>
        <w:pStyle w:val="Normal"/>
        <w:numPr>
          <w:ilvl w:val="1"/>
          <w:numId w:val="19"/>
        </w:numPr>
        <w:ind w:firstLine="720" w:start="0" w:end="0"/>
        <w:rPr>
          <w:color w:val="000000"/>
        </w:rPr>
      </w:pPr>
      <w:r>
        <w:rPr>
          <w:u w:val="single"/>
        </w:rPr>
        <w:t>Customer Compliance</w:t>
      </w:r>
      <w:r>
        <w:rPr/>
        <w:t>.  Customer will adhere to the Protocols and Rules and shall materially comply with all applicable federal, state and local laws and regulations. EPMI’s provision of Services under Article 2 hereof is contingent on the Customer having completed, and thereafter during the Term of this Appendix A, maintaining the appropriate qualification(s) and certifications with SERC as a Power Generation Company, AS provider, and/or any other pertinent SERC market participant status relating to the rights and obligations of the Parties to this Appendix A, including but not limited to all applicable credit and indemnification arrangements relating thereto, provided however, that Customer’s failure to adhere to the obligations stated in this Section shall not relieve Customer of the obligation to pay EPMI any and all fees due or to become due under the Agreement.</w:t>
      </w:r>
    </w:p>
    <w:p>
      <w:pPr>
        <w:pStyle w:val="Heading5"/>
        <w:tabs>
          <w:tab w:val="clear" w:pos="3600"/>
          <w:tab w:val="left" w:pos="0" w:leader="none"/>
        </w:tabs>
        <w:ind w:hanging="0" w:start="0" w:end="0"/>
        <w:jc w:val="center"/>
        <w:rPr>
          <w:b/>
          <w:bCs/>
          <w:u w:val="single"/>
        </w:rPr>
      </w:pPr>
      <w:r>
        <w:rPr>
          <w:b/>
          <w:bCs/>
          <w:u w:val="single"/>
        </w:rPr>
        <w:t>ARTICLE 3 –TERMINATION OF APPENDIX SERVICES</w:t>
      </w:r>
    </w:p>
    <w:p>
      <w:pPr>
        <w:pStyle w:val="Normal"/>
        <w:ind w:firstLine="720" w:end="0"/>
        <w:rPr/>
      </w:pPr>
      <w:r>
        <w:rPr/>
        <w:t>3.1</w:t>
        <w:tab/>
      </w:r>
      <w:r>
        <w:rPr>
          <w:u w:val="single"/>
        </w:rPr>
        <w:t>Termination relating to SERC’s Actions, Inactions, Creditworthiness or Insolvency</w:t>
      </w:r>
      <w:r>
        <w:rPr/>
        <w:t>.  If SERC (i) materially breaches its Standard Form Qualified Scheduling Entity Agreement with EPMI (“Standard Agreement”), including any material failure by SERC there under to comply with the Protocols, in a manner constituting a Default by SERC under the Standard Agreement and fails to cure within the applicable time period after delivery by EPMI of written notice thereof and/or adopts Protocols and Rules that could have a material adverse effect on EPMI, (ii) voluntarily suspends transaction of business; (iii) assesses EPMI with a material charge or fee in relation to EPMI’s performance of services for Customer, (iv) levies or attempts to levy upon collateral security posted by EPMI or exercises or attempts to exercise rights to access funds under any guaranty provided on behalf of EPMI in relation to EPMI’s performance of services for Customer (x) in any manner not supported by the Standard Agreement, the Protocols and Rules, (y) after a non-payment by any entity other than EPMI or (z) following the institution, with respect to a Market Participant, of a bankruptcy, reorganization, moratorium, liquidation or similar insolvency proceeding or other relief under any bankruptcy or insolvency law affecting creditor rights or a petition is presented or instituted for its winding up or liquidation, or such Market Participant otherwise becomes insolvent; (v) becomes insolvent or unable to pay any indebtedness as it matures; (vi) commences a voluntary case in bankruptcy or a voluntary petition seeking reorganization or to effect a plan or other arrangement with creditors; (vii) makes an assignment for the benefit of creditors; (viii) applies for or consents to the appointment of a receiver or trustee for it or for any substantial portion of its property; (ix) makes an assignment to an agent authorized to liquidate any substantial part of its assets; (x) has an involuntary case commenced against it with any court or other authority seeking liquidation, reorganization or a creditor's arrangement; (xi) by an order of any court or other authority, has appointed any receiver or trustee for it or for any substantial portion of its property; or (xii) has a writ or warrant of attachment or any similar process issued by any court or other authority against any substantial portion of its property and such involuntary petition seeking liquidation, reorganization or a creditor's arrangement or such order appointing a receiver or trustee is not vacated or stayed, or such writ, warrant of attachment or similar process is not vacated, released or bonded off within thirty (30) days after its entry or levy, then EPMI may, by giving written notice thereof, terminate this Appendix A and cease providing the Services hereunder.  Neither Party shall be liable to the other Party for any damages caused by a termination of this Appendix A under this Section 3.1, but each Party shall remain liable for all obligations and amounts under this Appendix A to the other Party that accrued prior to the effective date of such termination.</w:t>
      </w:r>
    </w:p>
    <w:p>
      <w:pPr>
        <w:pStyle w:val="Normal"/>
        <w:jc w:val="center"/>
        <w:rPr>
          <w:b/>
          <w:u w:val="single"/>
        </w:rPr>
      </w:pPr>
      <w:r>
        <w:rPr>
          <w:b/>
          <w:u w:val="single"/>
        </w:rPr>
        <w:t>ARTICLE 4 - INDEMNITY</w:t>
      </w:r>
    </w:p>
    <w:p>
      <w:pPr>
        <w:pStyle w:val="Normal"/>
        <w:rPr/>
      </w:pPr>
      <w:r>
        <w:rPr/>
        <w:tab/>
        <w:t xml:space="preserve">CUSTOMER WILL DEFEND, INDEMNIFY AND HOLD EPMI HARMLESS FROM AND AGAINST ALL CLAIMS, DEMANDS AND CAUSES OF ACTIONS BROUGHT BY THIRD PARTIES INCLUDING COSTS, ATTORNEYS' FEES AND EXPENSES RELATING TO THIS APPENDIX A AND/OR THE SERVICES PROVIDED BY EPMI UNDER THIS APPENDIX A, INCLUDING CLAIMS, DEMANDS AND CAUSES OF ACTIONS ARISING OUT OF THE JOINT, SOLE OR CONTRIBUTORY NEGLIGENCE OF EPMI BUT EXCLUDING CLAIMS, DEMANDS AND CAUSES OF ACTIONS ARISING OUT OF GROSS NEGLIGENCE OR WILLFUL MISCONDUCT OF EPMI.  The obligations of Customer under this </w:t>
      </w:r>
      <w:r>
        <w:rPr>
          <w:u w:val="single"/>
        </w:rPr>
        <w:t>Article 4</w:t>
      </w:r>
      <w:r>
        <w:rPr/>
        <w:t xml:space="preserve"> shall survive the termination of this Agreement.</w:t>
      </w:r>
    </w:p>
    <w:p>
      <w:pPr>
        <w:pStyle w:val="Normal"/>
        <w:jc w:val="center"/>
        <w:rPr>
          <w:b/>
          <w:u w:val="single"/>
        </w:rPr>
      </w:pPr>
      <w:r>
        <w:rPr>
          <w:b/>
          <w:u w:val="single"/>
        </w:rPr>
        <w:t>ARTICLE 5 - CONFIDENTIALITY</w:t>
      </w:r>
    </w:p>
    <w:p>
      <w:pPr>
        <w:pStyle w:val="Normal"/>
        <w:ind w:firstLine="720" w:end="0"/>
        <w:rPr/>
      </w:pPr>
      <w:r>
        <w:rPr/>
        <w:t>5.1</w:t>
        <w:tab/>
      </w:r>
      <w:r>
        <w:rPr>
          <w:u w:val="single"/>
        </w:rPr>
        <w:t>EPMI Proprietary Property</w:t>
      </w:r>
      <w:r>
        <w:rPr/>
        <w:t>.  Customer acknowledges and agrees that all trademarks, trade names, service marks, copyrights, programs, software, specifications, systems designs, applications, routines, sub-routines, techniques, enhancements, documentation, manuals, ideas or formulas utilized or developed and provided by EPMI or utilized or developed and provided in connection with this Appendix A (collectively, "</w:t>
      </w:r>
      <w:r>
        <w:rPr>
          <w:u w:val="single"/>
        </w:rPr>
        <w:t>EPMI Proprietary Property</w:t>
      </w:r>
      <w:r>
        <w:rPr/>
        <w:t>") are proprietary to EPMI and shall remain the sole property of EPMI.  Customer shall have no ownership interest in the EPMI Proprietary Property or other rights therewith.  Customer agrees to keep the EPMI Proprietary Property confidential at all times.  Upon termination of the Agreement, Customer will return all copies of all items relating to EPMI Proprietary Property which are in possession of Customer and certify to EPMI in writing that Customer has retained no materials relating to EPMI Proprietary Property.</w:t>
      </w:r>
    </w:p>
    <w:p>
      <w:pPr>
        <w:pStyle w:val="Normal"/>
        <w:jc w:val="center"/>
        <w:rPr>
          <w:b/>
          <w:u w:val="single"/>
        </w:rPr>
      </w:pPr>
      <w:r>
        <w:rPr>
          <w:b/>
          <w:u w:val="single"/>
        </w:rPr>
        <w:t xml:space="preserve">ARTICLE 6 - DISPUTE RESOLUTION </w:t>
      </w:r>
    </w:p>
    <w:p>
      <w:pPr>
        <w:pStyle w:val="NumContinue"/>
        <w:jc w:val="both"/>
        <w:rPr/>
      </w:pPr>
      <w:r>
        <w:rPr>
          <w:spacing w:val="2"/>
        </w:rPr>
        <w:t>6.1</w:t>
        <w:tab/>
      </w:r>
      <w:r>
        <w:rPr>
          <w:spacing w:val="2"/>
          <w:u w:val="single"/>
        </w:rPr>
        <w:t>“Interpretive Dispute” Resolution</w:t>
      </w:r>
      <w:r>
        <w:rPr>
          <w:spacing w:val="2"/>
        </w:rPr>
        <w:t xml:space="preserve">.  Disputes arising hereunder between the Parties relating to the application, implementation and/or interpretation of, or compliance with the Protocols and/or the Agreements promulgated under the Protocols executed directly between SERC and the Parties as Market Participants (any such dispute, an “Interpretive Dispute”) shall be resolved between the Parties using the applicable dispute resolution procedures </w:t>
      </w:r>
      <w:r>
        <w:rPr/>
        <w:t>set forth in the Protocols, provided that: (i) the Parties hereby irrevocably agree to refer all such Interpretive Disputes arising hereunder that cannot be resolved consistent with Section 6.1 hereof to mandatory, binding arbitration consistent with Article 21 of the Agreement, and (ii) the provisions stated in Article 21 of the Agreement shall govern the conduct of any such arbitration concerning an Interpretive Dispute, and in the event of any conflict between the provisions of Article 21 of the Agreement and Section 20 of the Protocols (excepting the “Applicability” Section 20.1), the provisions of Article 21 of the Agreement shall govern.</w:t>
      </w:r>
    </w:p>
    <w:p>
      <w:pPr>
        <w:pStyle w:val="Normal"/>
        <w:rPr/>
      </w:pPr>
      <w:r>
        <w:rPr/>
      </w:r>
    </w:p>
    <w:p>
      <w:pPr>
        <w:pStyle w:val="Normal"/>
        <w:rPr/>
      </w:pPr>
      <w:r>
        <w:rPr/>
      </w:r>
      <w:r>
        <w:br w:type="page"/>
      </w:r>
    </w:p>
    <w:p>
      <w:pPr>
        <w:pStyle w:val="Normal"/>
        <w:jc w:val="center"/>
        <w:rPr/>
      </w:pPr>
      <w:r>
        <w:rPr/>
        <w:t>Schedule “A”</w:t>
      </w:r>
    </w:p>
    <w:p>
      <w:pPr>
        <w:pStyle w:val="Normal"/>
        <w:jc w:val="center"/>
        <w:rPr/>
      </w:pPr>
      <w:r>
        <w:rPr/>
        <w:t xml:space="preserve">to Appendix A </w:t>
      </w:r>
    </w:p>
    <w:p>
      <w:pPr>
        <w:pStyle w:val="Heading4"/>
        <w:spacing w:before="120" w:after="240"/>
        <w:ind w:start="0" w:end="58"/>
        <w:jc w:val="center"/>
        <w:rPr/>
      </w:pPr>
      <w:r>
        <w:rPr/>
        <w:t>CONTACTS, NOTICES AND PAYMENT</w:t>
      </w:r>
    </w:p>
    <w:p>
      <w:pPr>
        <w:pStyle w:val="Normal"/>
        <w:rPr>
          <w:sz w:val="20"/>
        </w:rPr>
      </w:pPr>
      <w:r>
        <w:rPr>
          <w:sz w:val="20"/>
        </w:rPr>
        <w:t>"EPMI Contact Persons":</w:t>
      </w:r>
    </w:p>
    <w:p>
      <w:pPr>
        <w:pStyle w:val="Normal"/>
        <w:rPr>
          <w:sz w:val="20"/>
        </w:rPr>
      </w:pPr>
      <w:r>
        <w:rPr>
          <w:sz w:val="20"/>
        </w:rPr>
      </w:r>
    </w:p>
    <w:p>
      <w:pPr>
        <w:pStyle w:val="Normal"/>
        <w:tabs>
          <w:tab w:val="clear" w:pos="720"/>
          <w:tab w:val="left" w:pos="1710" w:leader="none"/>
          <w:tab w:val="left" w:pos="4320" w:leader="none"/>
          <w:tab w:val="left" w:pos="5220" w:leader="none"/>
          <w:tab w:val="left" w:pos="9180" w:leader="none"/>
        </w:tabs>
        <w:rPr>
          <w:sz w:val="20"/>
        </w:rPr>
      </w:pPr>
      <w:r>
        <w:rPr>
          <w:sz w:val="20"/>
        </w:rPr>
        <w:t>1.  Mike Curry</w:t>
        <w:tab/>
        <w:t xml:space="preserve">Telephone No: (713) 345-8139 (Relationship Manager) </w:t>
      </w:r>
    </w:p>
    <w:p>
      <w:pPr>
        <w:pStyle w:val="Normal"/>
        <w:tabs>
          <w:tab w:val="clear" w:pos="720"/>
          <w:tab w:val="left" w:pos="1710" w:leader="none"/>
          <w:tab w:val="left" w:pos="4320" w:leader="none"/>
          <w:tab w:val="left" w:pos="5220" w:leader="none"/>
          <w:tab w:val="left" w:pos="9180" w:leader="none"/>
        </w:tabs>
        <w:rPr>
          <w:sz w:val="20"/>
        </w:rPr>
      </w:pPr>
      <w:r>
        <w:rPr>
          <w:sz w:val="20"/>
        </w:rPr>
        <w:t xml:space="preserve">  </w:t>
      </w:r>
    </w:p>
    <w:p>
      <w:pPr>
        <w:pStyle w:val="Normal"/>
        <w:tabs>
          <w:tab w:val="clear" w:pos="720"/>
          <w:tab w:val="left" w:pos="1710" w:leader="none"/>
          <w:tab w:val="left" w:pos="4320" w:leader="none"/>
          <w:tab w:val="left" w:pos="5220" w:leader="none"/>
          <w:tab w:val="left" w:pos="9180" w:leader="none"/>
        </w:tabs>
        <w:rPr>
          <w:sz w:val="20"/>
        </w:rPr>
      </w:pPr>
      <w:r>
        <w:rPr>
          <w:sz w:val="20"/>
        </w:rPr>
        <w:t>2.   Smith Day</w:t>
        <w:tab/>
        <w:t>Telephone No: (713) 853-4201 (Operational Coordinator)</w:t>
      </w:r>
    </w:p>
    <w:p>
      <w:pPr>
        <w:pStyle w:val="Heading4"/>
        <w:spacing w:before="120" w:after="240"/>
        <w:ind w:start="0" w:end="58"/>
        <w:jc w:val="start"/>
        <w:rPr>
          <w:sz w:val="20"/>
        </w:rPr>
      </w:pPr>
      <w:r>
        <w:rPr>
          <w:sz w:val="20"/>
        </w:rPr>
        <w:tab/>
        <w:t>Non-business hours Hotline Telephone No:  1-800-349-5527</w:t>
      </w:r>
    </w:p>
    <w:p>
      <w:pPr>
        <w:pStyle w:val="Normal"/>
        <w:rPr>
          <w:sz w:val="20"/>
        </w:rPr>
      </w:pPr>
      <w:r>
        <w:rPr>
          <w:sz w:val="20"/>
        </w:rPr>
        <w:t>"Customer Contact Persons":</w:t>
      </w:r>
    </w:p>
    <w:p>
      <w:pPr>
        <w:pStyle w:val="Normal"/>
        <w:rPr>
          <w:sz w:val="20"/>
        </w:rPr>
      </w:pPr>
      <w:r>
        <w:rPr>
          <w:sz w:val="20"/>
        </w:rPr>
      </w:r>
    </w:p>
    <w:p>
      <w:pPr>
        <w:pStyle w:val="Normal"/>
        <w:tabs>
          <w:tab w:val="clear" w:pos="720"/>
          <w:tab w:val="left" w:pos="1440" w:leader="none"/>
          <w:tab w:val="left" w:pos="1890" w:leader="none"/>
          <w:tab w:val="left" w:pos="4320" w:leader="none"/>
          <w:tab w:val="left" w:pos="5580" w:leader="none"/>
          <w:tab w:val="left" w:pos="9180" w:leader="none"/>
        </w:tabs>
        <w:rPr>
          <w:sz w:val="20"/>
        </w:rPr>
      </w:pPr>
      <w:r>
        <w:rPr>
          <w:sz w:val="20"/>
        </w:rPr>
        <w:t>1.</w:t>
        <w:tab/>
        <w:t>_______________</w:t>
        <w:tab/>
        <w:tab/>
        <w:t xml:space="preserve">Telephone No: </w:t>
        <w:tab/>
      </w:r>
    </w:p>
    <w:p>
      <w:pPr>
        <w:pStyle w:val="Normal"/>
        <w:tabs>
          <w:tab w:val="clear" w:pos="720"/>
          <w:tab w:val="left" w:pos="1440" w:leader="none"/>
          <w:tab w:val="left" w:pos="1890" w:leader="none"/>
          <w:tab w:val="left" w:pos="4320" w:leader="none"/>
          <w:tab w:val="left" w:pos="5580" w:leader="none"/>
          <w:tab w:val="left" w:pos="9180" w:leader="none"/>
        </w:tabs>
        <w:rPr>
          <w:sz w:val="20"/>
        </w:rPr>
      </w:pPr>
      <w:r>
        <w:rPr>
          <w:sz w:val="20"/>
        </w:rPr>
        <w:t>2.</w:t>
        <w:tab/>
        <w:t>_______________</w:t>
        <w:tab/>
        <w:tab/>
        <w:t xml:space="preserve">Telephone No: </w:t>
        <w:tab/>
      </w:r>
    </w:p>
    <w:p>
      <w:pPr>
        <w:pStyle w:val="Heading4"/>
        <w:spacing w:before="120" w:after="240"/>
        <w:ind w:start="0" w:end="58"/>
        <w:jc w:val="start"/>
        <w:rPr>
          <w:sz w:val="20"/>
        </w:rPr>
      </w:pPr>
      <w:r>
        <w:rPr>
          <w:sz w:val="20"/>
        </w:rPr>
        <w:tab/>
        <w:t xml:space="preserve">  Non-business hours</w:t>
        <w:tab/>
        <w:t xml:space="preserve"> </w:t>
        <w:tab/>
        <w:t xml:space="preserve">Telephone No: </w:t>
        <w:tab/>
      </w:r>
    </w:p>
    <w:p>
      <w:pPr>
        <w:pStyle w:val="Heading4"/>
        <w:spacing w:before="120" w:after="240"/>
        <w:ind w:start="0" w:end="58"/>
        <w:jc w:val="start"/>
        <w:rPr/>
      </w:pPr>
      <w:r>
        <w:rPr/>
        <w:t>Notices and Payments:</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keepNext w:val="true"/>
              <w:spacing w:before="120" w:after="120"/>
              <w:rPr>
                <w:sz w:val="20"/>
                <w:u w:val="single"/>
              </w:rPr>
            </w:pPr>
            <w:r>
              <w:rPr>
                <w:sz w:val="20"/>
                <w:u w:val="single"/>
              </w:rPr>
              <w:t>EPMI:</w:t>
            </w:r>
          </w:p>
          <w:p>
            <w:pPr>
              <w:pStyle w:val="Normal"/>
              <w:keepNext w:val="true"/>
              <w:spacing w:before="120" w:after="120"/>
              <w:rPr>
                <w:sz w:val="20"/>
                <w:u w:val="single"/>
              </w:rPr>
            </w:pPr>
            <w:r>
              <w:rPr>
                <w:sz w:val="20"/>
                <w:u w:val="single"/>
              </w:rPr>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keepNext w:val="true"/>
              <w:spacing w:before="120" w:after="120"/>
              <w:rPr>
                <w:sz w:val="20"/>
              </w:rPr>
            </w:pPr>
            <w:r>
              <w:rPr>
                <w:sz w:val="20"/>
              </w:rPr>
              <w:t>NOTICES &amp; CORRESPONDENCE:</w:t>
            </w:r>
          </w:p>
        </w:tc>
        <w:tc>
          <w:tcPr>
            <w:tcW w:w="4320" w:type="dxa"/>
            <w:tcBorders/>
          </w:tcPr>
          <w:p>
            <w:pPr>
              <w:pStyle w:val="Normal"/>
              <w:keepNext w:val="true"/>
              <w:spacing w:before="120" w:after="120"/>
              <w:rPr>
                <w:sz w:val="20"/>
              </w:rPr>
            </w:pPr>
            <w:r>
              <w:rPr>
                <w:sz w:val="20"/>
              </w:rPr>
              <w:t>PAYMENTS:</w:t>
            </w:r>
          </w:p>
        </w:tc>
      </w:tr>
      <w:tr>
        <w:trPr/>
        <w:tc>
          <w:tcPr>
            <w:tcW w:w="5148" w:type="dxa"/>
            <w:tcBorders/>
          </w:tcPr>
          <w:p>
            <w:pPr>
              <w:pStyle w:val="Normal"/>
              <w:keepNext w:val="true"/>
              <w:spacing w:before="120" w:after="120"/>
              <w:rPr>
                <w:sz w:val="20"/>
              </w:rPr>
            </w:pPr>
            <w:r>
              <w:rPr>
                <w:sz w:val="20"/>
              </w:rPr>
              <w:t>Enron Power Marketing, Inc.</w:t>
            </w:r>
          </w:p>
        </w:tc>
        <w:tc>
          <w:tcPr>
            <w:tcW w:w="4320" w:type="dxa"/>
            <w:tcBorders/>
          </w:tcPr>
          <w:p>
            <w:pPr>
              <w:pStyle w:val="Normal"/>
              <w:keepNext w:val="true"/>
              <w:spacing w:before="120" w:after="120"/>
              <w:rPr>
                <w:sz w:val="20"/>
              </w:rPr>
            </w:pPr>
            <w:r>
              <w:rPr>
                <w:sz w:val="20"/>
              </w:rPr>
              <w:t>Bank of America</w:t>
            </w:r>
          </w:p>
        </w:tc>
      </w:tr>
      <w:tr>
        <w:trPr/>
        <w:tc>
          <w:tcPr>
            <w:tcW w:w="5148" w:type="dxa"/>
            <w:tcBorders/>
          </w:tcPr>
          <w:p>
            <w:pPr>
              <w:pStyle w:val="Normal"/>
              <w:keepNext w:val="true"/>
              <w:spacing w:before="120" w:after="120"/>
              <w:rPr>
                <w:sz w:val="20"/>
              </w:rPr>
            </w:pPr>
            <w:r>
              <w:rPr>
                <w:sz w:val="20"/>
              </w:rPr>
              <w:t>P. O. Box 4428</w:t>
            </w:r>
          </w:p>
        </w:tc>
        <w:tc>
          <w:tcPr>
            <w:tcW w:w="4320" w:type="dxa"/>
            <w:tcBorders/>
          </w:tcPr>
          <w:p>
            <w:pPr>
              <w:pStyle w:val="Normal"/>
              <w:keepNext w:val="true"/>
              <w:spacing w:before="120" w:after="120"/>
              <w:rPr>
                <w:sz w:val="20"/>
              </w:rPr>
            </w:pPr>
            <w:r>
              <w:rPr>
                <w:sz w:val="20"/>
              </w:rPr>
              <w:t>for:  Enron Power Marketing, Inc.</w:t>
            </w:r>
          </w:p>
        </w:tc>
      </w:tr>
      <w:tr>
        <w:trPr/>
        <w:tc>
          <w:tcPr>
            <w:tcW w:w="5148" w:type="dxa"/>
            <w:tcBorders/>
          </w:tcPr>
          <w:p>
            <w:pPr>
              <w:pStyle w:val="Normal"/>
              <w:keepNext w:val="true"/>
              <w:spacing w:before="120" w:after="120"/>
              <w:rPr>
                <w:sz w:val="20"/>
              </w:rPr>
            </w:pPr>
            <w:r>
              <w:rPr>
                <w:sz w:val="20"/>
              </w:rPr>
              <w:t>Houston, Texas 77210-4428</w:t>
            </w:r>
          </w:p>
        </w:tc>
        <w:tc>
          <w:tcPr>
            <w:tcW w:w="4320" w:type="dxa"/>
            <w:tcBorders/>
          </w:tcPr>
          <w:p>
            <w:pPr>
              <w:pStyle w:val="Normal"/>
              <w:keepNext w:val="true"/>
              <w:spacing w:before="120" w:after="120"/>
              <w:rPr>
                <w:sz w:val="20"/>
              </w:rPr>
            </w:pPr>
            <w:r>
              <w:rPr>
                <w:sz w:val="20"/>
              </w:rPr>
              <w:t>ABA Routing # 111000012</w:t>
            </w:r>
          </w:p>
        </w:tc>
      </w:tr>
      <w:tr>
        <w:trPr/>
        <w:tc>
          <w:tcPr>
            <w:tcW w:w="5148" w:type="dxa"/>
            <w:tcBorders/>
          </w:tcPr>
          <w:p>
            <w:pPr>
              <w:pStyle w:val="Normal"/>
              <w:keepNext w:val="true"/>
              <w:spacing w:before="120" w:after="120"/>
              <w:rPr>
                <w:sz w:val="20"/>
              </w:rPr>
            </w:pPr>
            <w:r>
              <w:rPr>
                <w:sz w:val="20"/>
              </w:rPr>
              <w:t>Attn.:  Power Contract Documentation Manager</w:t>
            </w:r>
          </w:p>
        </w:tc>
        <w:tc>
          <w:tcPr>
            <w:tcW w:w="4320" w:type="dxa"/>
            <w:tcBorders/>
          </w:tcPr>
          <w:p>
            <w:pPr>
              <w:pStyle w:val="Normal"/>
              <w:keepNext w:val="true"/>
              <w:spacing w:before="120" w:after="120"/>
              <w:rPr>
                <w:sz w:val="20"/>
              </w:rPr>
            </w:pPr>
            <w:r>
              <w:rPr>
                <w:sz w:val="20"/>
              </w:rPr>
              <w:t>Account #375 046 9312</w:t>
            </w:r>
          </w:p>
        </w:tc>
      </w:tr>
      <w:tr>
        <w:trPr/>
        <w:tc>
          <w:tcPr>
            <w:tcW w:w="5148" w:type="dxa"/>
            <w:tcBorders/>
          </w:tcPr>
          <w:p>
            <w:pPr>
              <w:pStyle w:val="Normal"/>
              <w:keepNext w:val="true"/>
              <w:spacing w:before="120" w:after="120"/>
              <w:rPr>
                <w:sz w:val="20"/>
              </w:rPr>
            </w:pPr>
            <w:r>
              <w:rPr>
                <w:sz w:val="20"/>
              </w:rPr>
              <w:t>FAX No.: (713) 646-2443</w:t>
            </w:r>
          </w:p>
        </w:tc>
        <w:tc>
          <w:tcPr>
            <w:tcW w:w="4320" w:type="dxa"/>
            <w:tcBorders/>
          </w:tcPr>
          <w:p>
            <w:pPr>
              <w:pStyle w:val="Normal"/>
              <w:keepNext w:val="true"/>
              <w:spacing w:before="120" w:after="120"/>
              <w:rPr>
                <w:sz w:val="20"/>
              </w:rPr>
            </w:pPr>
            <w:r>
              <w:rPr>
                <w:sz w:val="20"/>
              </w:rPr>
              <w:t>Confirmation:  Enron Power Marketing, Inc.</w:t>
            </w:r>
          </w:p>
        </w:tc>
      </w:tr>
      <w:tr>
        <w:trPr/>
        <w:tc>
          <w:tcPr>
            <w:tcW w:w="5148" w:type="dxa"/>
            <w:tcBorders/>
          </w:tcPr>
          <w:p>
            <w:pPr>
              <w:pStyle w:val="Normal"/>
              <w:keepNext w:val="true"/>
              <w:snapToGrid w:val="false"/>
              <w:spacing w:before="120" w:after="120"/>
              <w:rPr>
                <w:sz w:val="20"/>
              </w:rPr>
            </w:pPr>
            <w:r>
              <w:rPr>
                <w:sz w:val="20"/>
              </w:rPr>
            </w:r>
          </w:p>
        </w:tc>
        <w:tc>
          <w:tcPr>
            <w:tcW w:w="4320" w:type="dxa"/>
            <w:tcBorders/>
          </w:tcPr>
          <w:p>
            <w:pPr>
              <w:pStyle w:val="Normal"/>
              <w:keepNext w:val="true"/>
              <w:spacing w:before="120" w:after="120"/>
              <w:ind w:end="193"/>
              <w:rPr>
                <w:sz w:val="20"/>
              </w:rPr>
            </w:pPr>
            <w:r>
              <w:rPr>
                <w:sz w:val="20"/>
              </w:rPr>
              <w:t>Credit and Collections</w:t>
            </w:r>
          </w:p>
        </w:tc>
      </w:tr>
      <w:tr>
        <w:trPr/>
        <w:tc>
          <w:tcPr>
            <w:tcW w:w="5148" w:type="dxa"/>
            <w:tcBorders/>
          </w:tcPr>
          <w:p>
            <w:pPr>
              <w:pStyle w:val="Normal"/>
              <w:keepNext w:val="true"/>
              <w:spacing w:before="120" w:after="120"/>
              <w:rPr>
                <w:sz w:val="20"/>
              </w:rPr>
            </w:pPr>
            <w:r>
              <w:rPr>
                <w:sz w:val="20"/>
              </w:rPr>
              <w:t>With a copy of any notices</w:t>
            </w:r>
          </w:p>
          <w:p>
            <w:pPr>
              <w:pStyle w:val="Normal"/>
              <w:keepNext w:val="true"/>
              <w:spacing w:before="120" w:after="120"/>
              <w:rPr>
                <w:sz w:val="20"/>
              </w:rPr>
            </w:pPr>
            <w:r>
              <w:rPr>
                <w:sz w:val="20"/>
              </w:rPr>
              <w:t>pursuant to Section 4 also to:</w:t>
            </w:r>
          </w:p>
        </w:tc>
        <w:tc>
          <w:tcPr>
            <w:tcW w:w="4320" w:type="dxa"/>
            <w:tcBorders/>
          </w:tcPr>
          <w:p>
            <w:pPr>
              <w:pStyle w:val="Normal"/>
              <w:keepNext w:val="true"/>
              <w:spacing w:before="120" w:after="120"/>
              <w:rPr>
                <w:sz w:val="20"/>
              </w:rPr>
            </w:pPr>
            <w:r>
              <w:rPr>
                <w:sz w:val="20"/>
              </w:rPr>
              <w:t>(713) 853-5667</w:t>
            </w:r>
          </w:p>
        </w:tc>
      </w:tr>
      <w:tr>
        <w:trPr/>
        <w:tc>
          <w:tcPr>
            <w:tcW w:w="5148" w:type="dxa"/>
            <w:tcBorders/>
          </w:tcPr>
          <w:p>
            <w:pPr>
              <w:pStyle w:val="Index1"/>
              <w:keepNext w:val="true"/>
              <w:rPr>
                <w:sz w:val="20"/>
              </w:rPr>
            </w:pPr>
            <w:r>
              <w:rPr>
                <w:sz w:val="20"/>
              </w:rPr>
              <w:t>Enron Power Marketing, Inc.</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Index1"/>
              <w:keepNext w:val="true"/>
              <w:rPr>
                <w:sz w:val="20"/>
              </w:rPr>
            </w:pPr>
            <w:r>
              <w:rPr>
                <w:sz w:val="20"/>
              </w:rPr>
              <w:t>1400 Smith</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Index1"/>
              <w:keepNext w:val="true"/>
              <w:rPr>
                <w:sz w:val="20"/>
              </w:rPr>
            </w:pPr>
            <w:r>
              <w:rPr>
                <w:sz w:val="20"/>
              </w:rPr>
              <w:t>Houston, Texas  77002-7361</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Index1"/>
              <w:keepNext w:val="true"/>
              <w:rPr>
                <w:sz w:val="20"/>
              </w:rPr>
            </w:pPr>
            <w:r>
              <w:rPr>
                <w:sz w:val="20"/>
              </w:rPr>
              <w:t>Attn.:  Assistant General Counsel, Power Trading Group</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Index1"/>
              <w:keepNext w:val="true"/>
              <w:rPr>
                <w:sz w:val="20"/>
              </w:rPr>
            </w:pPr>
            <w:r>
              <w:rPr>
                <w:sz w:val="20"/>
              </w:rPr>
              <w:t>FAX No.:  (713) 646-4818</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keepNext w:val="true"/>
              <w:snapToGrid w:val="false"/>
              <w:spacing w:before="120" w:after="120"/>
              <w:rPr>
                <w:sz w:val="20"/>
              </w:rPr>
            </w:pPr>
            <w:r>
              <w:rPr>
                <w:sz w:val="20"/>
              </w:rPr>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keepNext w:val="true"/>
              <w:spacing w:before="120" w:after="120"/>
              <w:rPr>
                <w:sz w:val="20"/>
              </w:rPr>
            </w:pPr>
            <w:r>
              <w:rPr>
                <w:sz w:val="20"/>
              </w:rPr>
              <w:t>INVOICES:</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keepNext w:val="true"/>
              <w:spacing w:before="120" w:after="120"/>
              <w:rPr>
                <w:sz w:val="20"/>
              </w:rPr>
            </w:pPr>
            <w:r>
              <w:rPr>
                <w:sz w:val="20"/>
              </w:rPr>
              <w:t>Enron Power Marketing, Inc.</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keepNext w:val="true"/>
              <w:spacing w:before="120" w:after="120"/>
              <w:rPr>
                <w:sz w:val="20"/>
              </w:rPr>
            </w:pPr>
            <w:r>
              <w:rPr>
                <w:sz w:val="20"/>
              </w:rPr>
              <w:t>1400 Smith Street</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keepNext w:val="true"/>
              <w:spacing w:before="120" w:after="120"/>
              <w:rPr>
                <w:sz w:val="20"/>
              </w:rPr>
            </w:pPr>
            <w:r>
              <w:rPr>
                <w:sz w:val="20"/>
              </w:rPr>
              <w:t>P. O. Box 4428</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keepNext w:val="true"/>
              <w:spacing w:before="120" w:after="120"/>
              <w:rPr>
                <w:sz w:val="20"/>
              </w:rPr>
            </w:pPr>
            <w:r>
              <w:rPr>
                <w:sz w:val="20"/>
              </w:rPr>
              <w:t>Houston, Texas 77210-4428</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tabs>
                <w:tab w:val="clear" w:pos="720"/>
                <w:tab w:val="left" w:pos="900" w:leader="none"/>
              </w:tabs>
              <w:spacing w:before="120" w:after="120"/>
              <w:rPr>
                <w:sz w:val="20"/>
              </w:rPr>
            </w:pPr>
            <w:r>
              <w:rPr>
                <w:sz w:val="20"/>
              </w:rPr>
              <w:t>Attn.:</w:t>
              <w:tab/>
              <w:t>Power Contract Settlements Manager</w:t>
            </w:r>
          </w:p>
        </w:tc>
        <w:tc>
          <w:tcPr>
            <w:tcW w:w="4320" w:type="dxa"/>
            <w:tcBorders/>
          </w:tcPr>
          <w:p>
            <w:pPr>
              <w:pStyle w:val="Normal"/>
              <w:snapToGrid w:val="false"/>
              <w:spacing w:before="120" w:after="120"/>
              <w:rPr>
                <w:sz w:val="20"/>
              </w:rPr>
            </w:pPr>
            <w:r>
              <w:rPr>
                <w:sz w:val="20"/>
              </w:rPr>
            </w:r>
          </w:p>
        </w:tc>
      </w:tr>
      <w:tr>
        <w:trPr/>
        <w:tc>
          <w:tcPr>
            <w:tcW w:w="5148" w:type="dxa"/>
            <w:tcBorders/>
          </w:tcPr>
          <w:p>
            <w:pPr>
              <w:pStyle w:val="Normal"/>
              <w:tabs>
                <w:tab w:val="clear" w:pos="720"/>
                <w:tab w:val="left" w:pos="900" w:leader="none"/>
              </w:tabs>
              <w:spacing w:before="120" w:after="120"/>
              <w:rPr>
                <w:sz w:val="20"/>
              </w:rPr>
            </w:pPr>
            <w:r>
              <w:rPr>
                <w:sz w:val="20"/>
              </w:rPr>
              <w:t>FAX No.:  (713) 646-4061</w:t>
            </w:r>
          </w:p>
        </w:tc>
        <w:tc>
          <w:tcPr>
            <w:tcW w:w="4320" w:type="dxa"/>
            <w:tcBorders/>
          </w:tcPr>
          <w:p>
            <w:pPr>
              <w:pStyle w:val="Normal"/>
              <w:snapToGrid w:val="false"/>
              <w:spacing w:before="120" w:after="120"/>
              <w:rPr>
                <w:sz w:val="20"/>
              </w:rPr>
            </w:pPr>
            <w:r>
              <w:rPr>
                <w:sz w:val="20"/>
              </w:rPr>
            </w:r>
          </w:p>
        </w:tc>
      </w:tr>
    </w:tbl>
    <w:p>
      <w:pPr>
        <w:pStyle w:val="Normal"/>
        <w:rPr>
          <w:sz w:val="20"/>
        </w:rPr>
      </w:pPr>
      <w:r>
        <w:rPr>
          <w:sz w:val="20"/>
        </w:rPr>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keepLines/>
              <w:tabs>
                <w:tab w:val="clear" w:pos="720"/>
                <w:tab w:val="left" w:pos="1350" w:leader="none"/>
                <w:tab w:val="left" w:pos="4320" w:leader="none"/>
              </w:tabs>
              <w:spacing w:before="120" w:after="120"/>
              <w:rPr/>
            </w:pPr>
            <w:r>
              <w:rPr>
                <w:sz w:val="20"/>
                <w:u w:val="single"/>
              </w:rPr>
              <w:t>Customer</w:t>
            </w:r>
            <w:r>
              <w:rPr>
                <w:sz w:val="20"/>
              </w:rPr>
              <w:t>:</w:t>
            </w:r>
          </w:p>
          <w:p>
            <w:pPr>
              <w:pStyle w:val="Normal"/>
              <w:keepLines/>
              <w:tabs>
                <w:tab w:val="clear" w:pos="720"/>
                <w:tab w:val="left" w:pos="1350" w:leader="none"/>
                <w:tab w:val="left" w:pos="4320" w:leader="none"/>
              </w:tabs>
              <w:spacing w:before="120" w:after="120"/>
              <w:rPr>
                <w:sz w:val="20"/>
              </w:rPr>
            </w:pPr>
            <w:r>
              <w:rPr>
                <w:sz w:val="20"/>
              </w:rPr>
            </w:r>
          </w:p>
        </w:tc>
        <w:tc>
          <w:tcPr>
            <w:tcW w:w="4320" w:type="dxa"/>
            <w:tcBorders/>
          </w:tcPr>
          <w:p>
            <w:pPr>
              <w:pStyle w:val="Normal"/>
              <w:keepLines/>
              <w:tabs>
                <w:tab w:val="clear" w:pos="720"/>
                <w:tab w:val="left" w:pos="3852" w:leader="none"/>
              </w:tabs>
              <w:snapToGrid w:val="false"/>
              <w:spacing w:before="120" w:after="120"/>
              <w:rPr>
                <w:sz w:val="20"/>
              </w:rPr>
            </w:pPr>
            <w:r>
              <w:rPr>
                <w:sz w:val="20"/>
              </w:rPr>
            </w:r>
          </w:p>
        </w:tc>
      </w:tr>
      <w:tr>
        <w:trPr/>
        <w:tc>
          <w:tcPr>
            <w:tcW w:w="5148" w:type="dxa"/>
            <w:tcBorders/>
          </w:tcPr>
          <w:p>
            <w:pPr>
              <w:pStyle w:val="Normal"/>
              <w:keepLines/>
              <w:tabs>
                <w:tab w:val="clear" w:pos="720"/>
                <w:tab w:val="left" w:pos="1350" w:leader="none"/>
                <w:tab w:val="left" w:pos="4320" w:leader="none"/>
              </w:tabs>
              <w:spacing w:before="120" w:after="120"/>
              <w:rPr>
                <w:sz w:val="20"/>
              </w:rPr>
            </w:pPr>
            <w:r>
              <w:rPr>
                <w:sz w:val="20"/>
              </w:rPr>
              <w:t>NOTICES &amp; CORRESPONDENCE:</w:t>
            </w:r>
          </w:p>
        </w:tc>
        <w:tc>
          <w:tcPr>
            <w:tcW w:w="4320" w:type="dxa"/>
            <w:tcBorders/>
          </w:tcPr>
          <w:p>
            <w:pPr>
              <w:pStyle w:val="Normal"/>
              <w:keepLines/>
              <w:tabs>
                <w:tab w:val="clear" w:pos="720"/>
                <w:tab w:val="left" w:pos="3852" w:leader="none"/>
              </w:tabs>
              <w:spacing w:before="120" w:after="120"/>
              <w:rPr>
                <w:sz w:val="20"/>
              </w:rPr>
            </w:pPr>
            <w:r>
              <w:rPr>
                <w:sz w:val="20"/>
              </w:rPr>
              <w:t>PAYMENTS:</w:t>
            </w:r>
          </w:p>
        </w:tc>
      </w:tr>
      <w:tr>
        <w:trPr/>
        <w:tc>
          <w:tcPr>
            <w:tcW w:w="5148" w:type="dxa"/>
            <w:tcBorders/>
          </w:tcPr>
          <w:p>
            <w:pPr>
              <w:pStyle w:val="Normal"/>
              <w:keepLines/>
              <w:tabs>
                <w:tab w:val="clear" w:pos="720"/>
                <w:tab w:val="left" w:pos="1350" w:leader="none"/>
                <w:tab w:val="left" w:pos="4320" w:leader="none"/>
              </w:tabs>
              <w:spacing w:before="120" w:after="120"/>
              <w:rPr>
                <w:sz w:val="20"/>
              </w:rPr>
            </w:pPr>
            <w:r>
              <w:rPr>
                <w:sz w:val="20"/>
              </w:rPr>
              <w:t>_________________________________</w:t>
            </w:r>
          </w:p>
        </w:tc>
        <w:tc>
          <w:tcPr>
            <w:tcW w:w="4320" w:type="dxa"/>
            <w:tcBorders/>
          </w:tcPr>
          <w:p>
            <w:pPr>
              <w:pStyle w:val="Normal"/>
              <w:keepLines/>
              <w:tabs>
                <w:tab w:val="clear" w:pos="720"/>
                <w:tab w:val="left" w:pos="3852" w:leader="none"/>
              </w:tabs>
              <w:spacing w:before="120" w:after="120"/>
              <w:rPr>
                <w:sz w:val="20"/>
              </w:rPr>
            </w:pPr>
            <w:r>
              <w:rPr>
                <w:sz w:val="20"/>
              </w:rPr>
              <w:t>________________________________</w:t>
            </w:r>
          </w:p>
        </w:tc>
      </w:tr>
      <w:tr>
        <w:trPr/>
        <w:tc>
          <w:tcPr>
            <w:tcW w:w="5148" w:type="dxa"/>
            <w:tcBorders/>
          </w:tcPr>
          <w:p>
            <w:pPr>
              <w:pStyle w:val="Normal"/>
              <w:keepLines/>
              <w:tabs>
                <w:tab w:val="clear" w:pos="720"/>
                <w:tab w:val="left" w:pos="1350" w:leader="none"/>
                <w:tab w:val="left" w:pos="4320" w:leader="none"/>
              </w:tabs>
              <w:spacing w:before="120" w:after="120"/>
              <w:rPr>
                <w:sz w:val="20"/>
              </w:rPr>
            </w:pPr>
            <w:r>
              <w:rPr>
                <w:sz w:val="20"/>
              </w:rPr>
              <w:t>_________________________________</w:t>
            </w:r>
          </w:p>
        </w:tc>
        <w:tc>
          <w:tcPr>
            <w:tcW w:w="4320" w:type="dxa"/>
            <w:tcBorders/>
          </w:tcPr>
          <w:p>
            <w:pPr>
              <w:pStyle w:val="Normal"/>
              <w:keepLines/>
              <w:tabs>
                <w:tab w:val="clear" w:pos="720"/>
                <w:tab w:val="left" w:pos="3852" w:leader="none"/>
              </w:tabs>
              <w:spacing w:before="120" w:after="120"/>
              <w:rPr>
                <w:sz w:val="20"/>
              </w:rPr>
            </w:pPr>
            <w:r>
              <w:rPr>
                <w:sz w:val="20"/>
              </w:rPr>
              <w:t>ABA No.:  _______________________</w:t>
            </w:r>
          </w:p>
        </w:tc>
      </w:tr>
      <w:tr>
        <w:trPr/>
        <w:tc>
          <w:tcPr>
            <w:tcW w:w="5148" w:type="dxa"/>
            <w:tcBorders/>
          </w:tcPr>
          <w:p>
            <w:pPr>
              <w:pStyle w:val="Normal"/>
              <w:keepLines/>
              <w:tabs>
                <w:tab w:val="clear" w:pos="720"/>
                <w:tab w:val="left" w:pos="1350" w:leader="none"/>
                <w:tab w:val="left" w:pos="4320" w:leader="none"/>
              </w:tabs>
              <w:spacing w:before="120" w:after="120"/>
              <w:rPr>
                <w:sz w:val="20"/>
              </w:rPr>
            </w:pPr>
            <w:r>
              <w:rPr>
                <w:sz w:val="20"/>
              </w:rPr>
              <w:t>_________________________________</w:t>
            </w:r>
          </w:p>
        </w:tc>
        <w:tc>
          <w:tcPr>
            <w:tcW w:w="4320" w:type="dxa"/>
            <w:tcBorders/>
          </w:tcPr>
          <w:p>
            <w:pPr>
              <w:pStyle w:val="Normal"/>
              <w:keepLines/>
              <w:tabs>
                <w:tab w:val="clear" w:pos="720"/>
                <w:tab w:val="left" w:pos="3852" w:leader="none"/>
              </w:tabs>
              <w:spacing w:before="120" w:after="120"/>
              <w:rPr>
                <w:sz w:val="20"/>
              </w:rPr>
            </w:pPr>
            <w:r>
              <w:rPr>
                <w:sz w:val="20"/>
              </w:rPr>
              <w:t>Account No.:  ____________________</w:t>
            </w:r>
          </w:p>
        </w:tc>
      </w:tr>
      <w:tr>
        <w:trPr/>
        <w:tc>
          <w:tcPr>
            <w:tcW w:w="5148" w:type="dxa"/>
            <w:tcBorders/>
          </w:tcPr>
          <w:p>
            <w:pPr>
              <w:pStyle w:val="Normal"/>
              <w:keepLines/>
              <w:tabs>
                <w:tab w:val="clear" w:pos="720"/>
                <w:tab w:val="left" w:pos="1350" w:leader="none"/>
                <w:tab w:val="left" w:pos="4320" w:leader="none"/>
              </w:tabs>
              <w:spacing w:before="120" w:after="120"/>
              <w:rPr>
                <w:sz w:val="20"/>
              </w:rPr>
            </w:pPr>
            <w:r>
              <w:rPr>
                <w:sz w:val="20"/>
              </w:rPr>
              <w:t>Attn.:____________________________</w:t>
            </w:r>
          </w:p>
        </w:tc>
        <w:tc>
          <w:tcPr>
            <w:tcW w:w="4320" w:type="dxa"/>
            <w:tcBorders/>
          </w:tcPr>
          <w:p>
            <w:pPr>
              <w:pStyle w:val="Normal"/>
              <w:tabs>
                <w:tab w:val="clear" w:pos="720"/>
                <w:tab w:val="left" w:pos="3852" w:leader="none"/>
              </w:tabs>
              <w:spacing w:before="120" w:after="120"/>
              <w:rPr>
                <w:sz w:val="20"/>
              </w:rPr>
            </w:pPr>
            <w:r>
              <w:rPr>
                <w:sz w:val="20"/>
              </w:rPr>
              <w:t>Confirmation:  ____________________</w:t>
            </w:r>
          </w:p>
        </w:tc>
      </w:tr>
      <w:tr>
        <w:trPr/>
        <w:tc>
          <w:tcPr>
            <w:tcW w:w="5148" w:type="dxa"/>
            <w:tcBorders/>
          </w:tcPr>
          <w:p>
            <w:pPr>
              <w:pStyle w:val="Normal"/>
              <w:keepLines/>
              <w:tabs>
                <w:tab w:val="clear" w:pos="720"/>
                <w:tab w:val="left" w:pos="1170" w:leader="none"/>
                <w:tab w:val="left" w:pos="4320" w:leader="none"/>
              </w:tabs>
              <w:spacing w:before="120" w:after="120"/>
              <w:rPr>
                <w:sz w:val="20"/>
              </w:rPr>
            </w:pPr>
            <w:r>
              <w:rPr>
                <w:sz w:val="20"/>
              </w:rPr>
              <w:t>FAX No.:</w:t>
              <w:tab/>
              <w:t>(_____)________________</w:t>
            </w:r>
          </w:p>
        </w:tc>
        <w:tc>
          <w:tcPr>
            <w:tcW w:w="4320" w:type="dxa"/>
            <w:tcBorders/>
          </w:tcPr>
          <w:p>
            <w:pPr>
              <w:pStyle w:val="Normal"/>
              <w:keepNext w:val="true"/>
              <w:tabs>
                <w:tab w:val="clear" w:pos="720"/>
                <w:tab w:val="left" w:pos="3852" w:leader="none"/>
              </w:tabs>
              <w:spacing w:before="120" w:after="120"/>
              <w:rPr>
                <w:sz w:val="20"/>
              </w:rPr>
            </w:pPr>
            <w:r>
              <w:rPr>
                <w:sz w:val="20"/>
              </w:rPr>
              <w:t>Phone No.:  (____)_________________</w:t>
            </w:r>
          </w:p>
        </w:tc>
      </w:tr>
      <w:tr>
        <w:trPr/>
        <w:tc>
          <w:tcPr>
            <w:tcW w:w="5148" w:type="dxa"/>
            <w:tcBorders/>
          </w:tcPr>
          <w:p>
            <w:pPr>
              <w:pStyle w:val="Normal"/>
              <w:keepLines/>
              <w:tabs>
                <w:tab w:val="clear" w:pos="720"/>
                <w:tab w:val="left" w:pos="1170" w:leader="none"/>
                <w:tab w:val="left" w:pos="4320" w:leader="none"/>
              </w:tabs>
              <w:spacing w:before="120" w:after="120"/>
              <w:rPr>
                <w:sz w:val="20"/>
              </w:rPr>
            </w:pPr>
            <w:r>
              <w:rPr>
                <w:sz w:val="20"/>
              </w:rPr>
              <w:t>Phone No.:</w:t>
              <w:tab/>
              <w:t>(_____)________________</w:t>
            </w:r>
          </w:p>
        </w:tc>
        <w:tc>
          <w:tcPr>
            <w:tcW w:w="4320" w:type="dxa"/>
            <w:tcBorders/>
          </w:tcPr>
          <w:p>
            <w:pPr>
              <w:pStyle w:val="Normal"/>
              <w:keepNext w:val="true"/>
              <w:tabs>
                <w:tab w:val="clear" w:pos="720"/>
                <w:tab w:val="left" w:pos="3852" w:leader="none"/>
              </w:tabs>
              <w:snapToGrid w:val="false"/>
              <w:spacing w:before="120" w:after="120"/>
              <w:rPr>
                <w:sz w:val="20"/>
              </w:rPr>
            </w:pPr>
            <w:r>
              <w:rPr>
                <w:sz w:val="20"/>
              </w:rPr>
            </w:r>
          </w:p>
        </w:tc>
      </w:tr>
      <w:tr>
        <w:trPr/>
        <w:tc>
          <w:tcPr>
            <w:tcW w:w="5148" w:type="dxa"/>
            <w:tcBorders/>
          </w:tcPr>
          <w:p>
            <w:pPr>
              <w:pStyle w:val="Normal"/>
              <w:tabs>
                <w:tab w:val="clear" w:pos="720"/>
                <w:tab w:val="left" w:pos="1350" w:leader="none"/>
                <w:tab w:val="left" w:pos="4320" w:leader="none"/>
              </w:tabs>
              <w:snapToGrid w:val="false"/>
              <w:spacing w:before="120" w:after="120"/>
              <w:rPr>
                <w:sz w:val="20"/>
              </w:rPr>
            </w:pPr>
            <w:r>
              <w:rPr>
                <w:sz w:val="20"/>
              </w:rPr>
            </w:r>
          </w:p>
        </w:tc>
        <w:tc>
          <w:tcPr>
            <w:tcW w:w="4320" w:type="dxa"/>
            <w:tcBorders/>
          </w:tcPr>
          <w:p>
            <w:pPr>
              <w:pStyle w:val="Normal"/>
              <w:keepNext w:val="true"/>
              <w:tabs>
                <w:tab w:val="clear" w:pos="720"/>
                <w:tab w:val="left" w:pos="3852" w:leader="none"/>
              </w:tabs>
              <w:snapToGrid w:val="false"/>
              <w:spacing w:before="120" w:after="120"/>
              <w:rPr>
                <w:sz w:val="20"/>
              </w:rPr>
            </w:pPr>
            <w:r>
              <w:rPr>
                <w:sz w:val="20"/>
              </w:rPr>
            </w:r>
          </w:p>
        </w:tc>
      </w:tr>
      <w:tr>
        <w:trPr/>
        <w:tc>
          <w:tcPr>
            <w:tcW w:w="5148" w:type="dxa"/>
            <w:tcBorders/>
          </w:tcPr>
          <w:p>
            <w:pPr>
              <w:pStyle w:val="Normal"/>
              <w:keepNext w:val="true"/>
              <w:keepLines/>
              <w:tabs>
                <w:tab w:val="clear" w:pos="720"/>
                <w:tab w:val="left" w:pos="1350" w:leader="none"/>
                <w:tab w:val="left" w:pos="4320" w:leader="none"/>
              </w:tabs>
              <w:spacing w:before="120" w:after="120"/>
              <w:rPr>
                <w:sz w:val="20"/>
              </w:rPr>
            </w:pPr>
            <w:r>
              <w:rPr>
                <w:sz w:val="20"/>
              </w:rPr>
              <w:t>INVOICES:</w:t>
            </w:r>
          </w:p>
        </w:tc>
        <w:tc>
          <w:tcPr>
            <w:tcW w:w="4320" w:type="dxa"/>
            <w:tcBorders/>
          </w:tcPr>
          <w:p>
            <w:pPr>
              <w:pStyle w:val="Normal"/>
              <w:keepNext w:val="true"/>
              <w:keepLines/>
              <w:tabs>
                <w:tab w:val="clear" w:pos="720"/>
                <w:tab w:val="left" w:pos="3852" w:leader="none"/>
              </w:tabs>
              <w:snapToGrid w:val="false"/>
              <w:spacing w:before="120" w:after="120"/>
              <w:rPr>
                <w:sz w:val="20"/>
              </w:rPr>
            </w:pPr>
            <w:r>
              <w:rPr>
                <w:sz w:val="20"/>
              </w:rPr>
            </w:r>
          </w:p>
        </w:tc>
      </w:tr>
      <w:tr>
        <w:trPr/>
        <w:tc>
          <w:tcPr>
            <w:tcW w:w="5148" w:type="dxa"/>
            <w:tcBorders/>
          </w:tcPr>
          <w:p>
            <w:pPr>
              <w:pStyle w:val="Normal"/>
              <w:keepNext w:val="true"/>
              <w:keepLines/>
              <w:tabs>
                <w:tab w:val="clear" w:pos="720"/>
                <w:tab w:val="left" w:pos="1350" w:leader="none"/>
                <w:tab w:val="left" w:pos="4320" w:leader="none"/>
              </w:tabs>
              <w:spacing w:before="120" w:after="120"/>
              <w:rPr>
                <w:sz w:val="20"/>
              </w:rPr>
            </w:pPr>
            <w:r>
              <w:rPr>
                <w:sz w:val="20"/>
              </w:rPr>
              <w:t>_________________________________</w:t>
            </w:r>
          </w:p>
        </w:tc>
        <w:tc>
          <w:tcPr>
            <w:tcW w:w="4320" w:type="dxa"/>
            <w:tcBorders/>
          </w:tcPr>
          <w:p>
            <w:pPr>
              <w:pStyle w:val="Normal"/>
              <w:keepNext w:val="true"/>
              <w:keepLines/>
              <w:tabs>
                <w:tab w:val="clear" w:pos="720"/>
                <w:tab w:val="left" w:pos="3852" w:leader="none"/>
              </w:tabs>
              <w:snapToGrid w:val="false"/>
              <w:spacing w:before="120" w:after="120"/>
              <w:rPr>
                <w:sz w:val="20"/>
              </w:rPr>
            </w:pPr>
            <w:r>
              <w:rPr>
                <w:sz w:val="20"/>
              </w:rPr>
            </w:r>
          </w:p>
        </w:tc>
      </w:tr>
      <w:tr>
        <w:trPr/>
        <w:tc>
          <w:tcPr>
            <w:tcW w:w="5148" w:type="dxa"/>
            <w:tcBorders/>
          </w:tcPr>
          <w:p>
            <w:pPr>
              <w:pStyle w:val="Normal"/>
              <w:keepNext w:val="true"/>
              <w:keepLines/>
              <w:tabs>
                <w:tab w:val="clear" w:pos="720"/>
                <w:tab w:val="left" w:pos="1350" w:leader="none"/>
                <w:tab w:val="left" w:pos="4320" w:leader="none"/>
              </w:tabs>
              <w:spacing w:before="120" w:after="120"/>
              <w:rPr>
                <w:sz w:val="20"/>
              </w:rPr>
            </w:pPr>
            <w:r>
              <w:rPr>
                <w:sz w:val="20"/>
              </w:rPr>
              <w:t>_________________________________</w:t>
            </w:r>
          </w:p>
        </w:tc>
        <w:tc>
          <w:tcPr>
            <w:tcW w:w="4320" w:type="dxa"/>
            <w:tcBorders/>
          </w:tcPr>
          <w:p>
            <w:pPr>
              <w:pStyle w:val="Index1"/>
              <w:keepNext w:val="true"/>
              <w:keepLines/>
              <w:tabs>
                <w:tab w:val="clear" w:pos="720"/>
                <w:tab w:val="left" w:pos="3852" w:leader="none"/>
              </w:tabs>
              <w:snapToGrid w:val="false"/>
              <w:rPr>
                <w:sz w:val="20"/>
              </w:rPr>
            </w:pPr>
            <w:r>
              <w:rPr>
                <w:sz w:val="20"/>
              </w:rPr>
            </w:r>
          </w:p>
        </w:tc>
      </w:tr>
      <w:tr>
        <w:trPr/>
        <w:tc>
          <w:tcPr>
            <w:tcW w:w="5148" w:type="dxa"/>
            <w:tcBorders/>
          </w:tcPr>
          <w:p>
            <w:pPr>
              <w:pStyle w:val="Normal"/>
              <w:keepNext w:val="true"/>
              <w:keepLines/>
              <w:tabs>
                <w:tab w:val="clear" w:pos="720"/>
                <w:tab w:val="left" w:pos="1350" w:leader="none"/>
                <w:tab w:val="left" w:pos="4320" w:leader="none"/>
              </w:tabs>
              <w:spacing w:before="120" w:after="120"/>
              <w:rPr>
                <w:sz w:val="20"/>
              </w:rPr>
            </w:pPr>
            <w:r>
              <w:rPr>
                <w:sz w:val="20"/>
              </w:rPr>
              <w:t>_________________________________</w:t>
            </w:r>
          </w:p>
        </w:tc>
        <w:tc>
          <w:tcPr>
            <w:tcW w:w="4320" w:type="dxa"/>
            <w:tcBorders/>
          </w:tcPr>
          <w:p>
            <w:pPr>
              <w:pStyle w:val="Normal"/>
              <w:keepNext w:val="true"/>
              <w:keepLines/>
              <w:tabs>
                <w:tab w:val="clear" w:pos="720"/>
                <w:tab w:val="left" w:pos="3852" w:leader="none"/>
              </w:tabs>
              <w:snapToGrid w:val="false"/>
              <w:spacing w:before="120" w:after="120"/>
              <w:rPr>
                <w:sz w:val="20"/>
              </w:rPr>
            </w:pPr>
            <w:r>
              <w:rPr>
                <w:sz w:val="20"/>
              </w:rPr>
            </w:r>
          </w:p>
        </w:tc>
      </w:tr>
      <w:tr>
        <w:trPr/>
        <w:tc>
          <w:tcPr>
            <w:tcW w:w="5148" w:type="dxa"/>
            <w:tcBorders/>
          </w:tcPr>
          <w:p>
            <w:pPr>
              <w:pStyle w:val="FootnoteText"/>
              <w:keepNext w:val="true"/>
              <w:keepLines/>
              <w:tabs>
                <w:tab w:val="clear" w:pos="720"/>
                <w:tab w:val="left" w:pos="1350" w:leader="none"/>
                <w:tab w:val="left" w:pos="4320" w:leader="none"/>
              </w:tabs>
              <w:spacing w:before="120" w:after="120"/>
              <w:rPr/>
            </w:pPr>
            <w:r>
              <w:rPr/>
              <w:t>Attn.:____________________________</w:t>
            </w:r>
          </w:p>
        </w:tc>
        <w:tc>
          <w:tcPr>
            <w:tcW w:w="4320" w:type="dxa"/>
            <w:tcBorders/>
          </w:tcPr>
          <w:p>
            <w:pPr>
              <w:pStyle w:val="Normal"/>
              <w:keepNext w:val="true"/>
              <w:keepLines/>
              <w:tabs>
                <w:tab w:val="clear" w:pos="720"/>
                <w:tab w:val="left" w:pos="3852" w:leader="none"/>
              </w:tabs>
              <w:snapToGrid w:val="false"/>
              <w:spacing w:before="120" w:after="120"/>
              <w:rPr>
                <w:sz w:val="20"/>
              </w:rPr>
            </w:pPr>
            <w:r>
              <w:rPr>
                <w:sz w:val="20"/>
              </w:rPr>
            </w:r>
          </w:p>
        </w:tc>
      </w:tr>
      <w:tr>
        <w:trPr/>
        <w:tc>
          <w:tcPr>
            <w:tcW w:w="5148" w:type="dxa"/>
            <w:tcBorders/>
          </w:tcPr>
          <w:p>
            <w:pPr>
              <w:pStyle w:val="Normal"/>
              <w:keepNext w:val="true"/>
              <w:keepLines/>
              <w:tabs>
                <w:tab w:val="clear" w:pos="720"/>
                <w:tab w:val="left" w:pos="1170" w:leader="none"/>
                <w:tab w:val="left" w:pos="4320" w:leader="none"/>
              </w:tabs>
              <w:spacing w:before="120" w:after="120"/>
              <w:rPr>
                <w:sz w:val="20"/>
              </w:rPr>
            </w:pPr>
            <w:r>
              <w:rPr>
                <w:sz w:val="20"/>
              </w:rPr>
              <w:t>FAX No.:</w:t>
              <w:tab/>
              <w:t>(____)_________________</w:t>
            </w:r>
          </w:p>
        </w:tc>
        <w:tc>
          <w:tcPr>
            <w:tcW w:w="4320" w:type="dxa"/>
            <w:tcBorders/>
          </w:tcPr>
          <w:p>
            <w:pPr>
              <w:pStyle w:val="Normal"/>
              <w:keepNext w:val="true"/>
              <w:keepLines/>
              <w:tabs>
                <w:tab w:val="clear" w:pos="720"/>
                <w:tab w:val="left" w:pos="3852" w:leader="none"/>
              </w:tabs>
              <w:snapToGrid w:val="false"/>
              <w:spacing w:before="120" w:after="120"/>
              <w:rPr>
                <w:sz w:val="20"/>
              </w:rPr>
            </w:pPr>
            <w:r>
              <w:rPr>
                <w:sz w:val="20"/>
              </w:rPr>
            </w:r>
          </w:p>
        </w:tc>
      </w:tr>
      <w:tr>
        <w:trPr/>
        <w:tc>
          <w:tcPr>
            <w:tcW w:w="5148" w:type="dxa"/>
            <w:tcBorders/>
          </w:tcPr>
          <w:p>
            <w:pPr>
              <w:pStyle w:val="Normal"/>
              <w:keepNext w:val="true"/>
              <w:keepLines/>
              <w:tabs>
                <w:tab w:val="clear" w:pos="720"/>
                <w:tab w:val="left" w:pos="1170" w:leader="none"/>
                <w:tab w:val="left" w:pos="4320" w:leader="none"/>
              </w:tabs>
              <w:spacing w:before="120" w:after="120"/>
              <w:rPr>
                <w:sz w:val="20"/>
              </w:rPr>
            </w:pPr>
            <w:r>
              <w:rPr>
                <w:sz w:val="20"/>
              </w:rPr>
              <w:t>Phone No.:</w:t>
              <w:tab/>
              <w:t>(____)_________________</w:t>
            </w:r>
          </w:p>
        </w:tc>
        <w:tc>
          <w:tcPr>
            <w:tcW w:w="4320" w:type="dxa"/>
            <w:tcBorders/>
          </w:tcPr>
          <w:p>
            <w:pPr>
              <w:pStyle w:val="Normal"/>
              <w:keepNext w:val="true"/>
              <w:keepLines/>
              <w:tabs>
                <w:tab w:val="clear" w:pos="720"/>
                <w:tab w:val="left" w:pos="3852" w:leader="none"/>
              </w:tabs>
              <w:snapToGrid w:val="false"/>
              <w:spacing w:before="120" w:after="120"/>
              <w:rPr>
                <w:sz w:val="20"/>
              </w:rPr>
            </w:pPr>
            <w:r>
              <w:rPr>
                <w:sz w:val="20"/>
              </w:rPr>
            </w:r>
          </w:p>
        </w:tc>
      </w:tr>
    </w:tbl>
    <w:p>
      <w:pPr>
        <w:pStyle w:val="Justified"/>
        <w:rPr>
          <w:rFonts w:ascii="Times New Roman" w:hAnsi="Times New Roman" w:cs="Times New Roman"/>
          <w:sz w:val="20"/>
        </w:rPr>
      </w:pPr>
      <w:r>
        <w:rPr>
          <w:rFonts w:cs="Times New Roman" w:ascii="Times New Roman" w:hAnsi="Times New Roman"/>
          <w:sz w:val="20"/>
        </w:rPr>
      </w:r>
    </w:p>
    <w:p>
      <w:pPr>
        <w:pStyle w:val="Justified"/>
        <w:rPr>
          <w:rFonts w:ascii="Times New Roman" w:hAnsi="Times New Roman" w:cs="Times New Roman"/>
          <w:sz w:val="24"/>
        </w:rPr>
      </w:pPr>
      <w:r>
        <w:rPr>
          <w:rFonts w:cs="Times New Roman" w:ascii="Times New Roman" w:hAnsi="Times New Roman"/>
          <w:sz w:val="20"/>
        </w:rPr>
        <w:t>or to such other address as Customer or EPMI shall from time to time designate by letter properly addressed.</w:t>
      </w:r>
      <w:r>
        <w:br w:type="page"/>
      </w:r>
    </w:p>
    <w:p>
      <w:pPr>
        <w:pStyle w:val="Normal"/>
        <w:tabs>
          <w:tab w:val="left" w:pos="720" w:leader="none"/>
          <w:tab w:val="left" w:pos="3780" w:leader="none"/>
          <w:tab w:val="left" w:pos="5040" w:leader="none"/>
          <w:tab w:val="left" w:pos="5670" w:leader="none"/>
          <w:tab w:val="left" w:pos="9180" w:leader="none"/>
        </w:tabs>
        <w:jc w:val="center"/>
        <w:rPr/>
      </w:pPr>
      <w:r>
        <w:rPr/>
        <w:t>SCHEDULE “B” TO APPENDIX A</w:t>
      </w:r>
    </w:p>
    <w:p>
      <w:pPr>
        <w:pStyle w:val="Normal"/>
        <w:tabs>
          <w:tab w:val="left" w:pos="720" w:leader="none"/>
          <w:tab w:val="left" w:pos="3780" w:leader="none"/>
          <w:tab w:val="left" w:pos="5040" w:leader="none"/>
          <w:tab w:val="left" w:pos="5670" w:leader="none"/>
          <w:tab w:val="left" w:pos="9180" w:leader="none"/>
        </w:tabs>
        <w:jc w:val="center"/>
        <w:rPr>
          <w:b/>
        </w:rPr>
      </w:pPr>
      <w:r>
        <w:rPr>
          <w:b/>
        </w:rPr>
      </w:r>
    </w:p>
    <w:p>
      <w:pPr>
        <w:pStyle w:val="Normal"/>
        <w:tabs>
          <w:tab w:val="left" w:pos="720" w:leader="none"/>
          <w:tab w:val="left" w:pos="3780" w:leader="none"/>
          <w:tab w:val="left" w:pos="5040" w:leader="none"/>
          <w:tab w:val="left" w:pos="5670" w:leader="none"/>
          <w:tab w:val="left" w:pos="9180" w:leader="none"/>
        </w:tabs>
        <w:jc w:val="center"/>
        <w:rPr>
          <w:b/>
        </w:rPr>
      </w:pPr>
      <w:r>
        <w:rPr/>
        <w:t>SERC Schedule and Customer Information Deadlines</w:t>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Normal"/>
        <w:rPr/>
      </w:pPr>
      <w:r>
        <w:rPr/>
        <w:t xml:space="preserve">Note (1): Customer will coordinate with EPMI pursuant to the Agreement and this Appendix A to provide Facilities Information and otherwise assist in the provision of Customer Information in order for EPMI to adhere to the following deadlines.  These deadlines shall adjust to match any adjustment made by the SERC ISO.  </w:t>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t>Note (2): The items for EPMI returning information received from the SERC ISO back to Customer may vary due to SERC ISO market timing.</w:t>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Normal"/>
        <w:rPr>
          <w:rFonts w:ascii="Times New Roman" w:hAnsi="Times New Roman" w:cs="Times New Roman"/>
          <w:b/>
          <w:smallCaps/>
        </w:rPr>
      </w:pPr>
      <w:r>
        <w:rPr>
          <w:rFonts w:cs="Times New Roman"/>
          <w:b/>
          <w:smallCaps/>
        </w:rPr>
      </w:r>
    </w:p>
    <w:p>
      <w:pPr>
        <w:pStyle w:val="ArticleL2"/>
        <w:keepNext w:val="false"/>
        <w:widowControl/>
        <w:numPr>
          <w:ilvl w:val="1"/>
          <w:numId w:val="9"/>
        </w:numPr>
        <w:tabs>
          <w:tab w:val="clear" w:pos="1440"/>
          <w:tab w:val="clear" w:pos="1584"/>
        </w:tabs>
        <w:spacing w:before="0" w:after="0"/>
        <w:ind w:hanging="0" w:start="0" w:end="0"/>
        <w:rPr>
          <w:rFonts w:ascii="Times New Roman" w:hAnsi="Times New Roman" w:cs="Times New Roman"/>
        </w:rPr>
      </w:pPr>
      <w:r>
        <w:rPr>
          <w:rFonts w:cs="Times New Roman" w:ascii="Times New Roman" w:hAnsi="Times New Roman"/>
        </w:rPr>
        <w:t xml:space="preserve">Day Ahead Scheduling Process.   </w:t>
      </w:r>
      <w:r>
        <w:rPr>
          <w:rFonts w:cs="Times New Roman" w:ascii="Times New Roman" w:hAnsi="Times New Roman"/>
          <w:b w:val="false"/>
        </w:rPr>
        <w:t>The Day Ahead Scheduling Process will follow the following timeline starting at 5:30am CPT the day prior to the Operating Day.</w:t>
      </w:r>
      <w:r>
        <w:rPr>
          <w:b w:val="false"/>
        </w:rPr>
        <w:t xml:space="preserve">   </w:t>
      </w:r>
      <w:r>
        <w:rPr>
          <w:rFonts w:cs="Courier" w:ascii="Courier" w:hAnsi="Courier"/>
          <w:b w:val="false"/>
          <w:sz w:val="26"/>
        </w:rPr>
        <w:t xml:space="preserve">  </w:t>
      </w:r>
      <w:r>
        <w:rPr>
          <w:rFonts w:cs="Times New Roman" w:ascii="Times New Roman" w:hAnsi="Times New Roman"/>
        </w:rPr>
        <w:t xml:space="preserve"> </w:t>
      </w:r>
    </w:p>
    <w:p>
      <w:pPr>
        <w:pStyle w:val="Normal"/>
        <w:ind w:start="1080" w:end="0"/>
        <w:rPr/>
      </w:pPr>
      <w:r>
        <w:rPr/>
        <w:t xml:space="preserve"> </w:t>
      </w:r>
    </w:p>
    <w:tbl>
      <w:tblPr>
        <w:tblW w:w="9468" w:type="dxa"/>
        <w:jc w:val="start"/>
        <w:tblInd w:w="0" w:type="dxa"/>
        <w:tblLayout w:type="fixed"/>
        <w:tblCellMar>
          <w:top w:w="0" w:type="dxa"/>
          <w:start w:w="108" w:type="dxa"/>
          <w:bottom w:w="0" w:type="dxa"/>
          <w:end w:w="108" w:type="dxa"/>
        </w:tblCellMar>
      </w:tblPr>
      <w:tblGrid>
        <w:gridCol w:w="2898"/>
        <w:gridCol w:w="6570"/>
      </w:tblGrid>
      <w:tr>
        <w:trPr/>
        <w:tc>
          <w:tcPr>
            <w:tcW w:w="2898" w:type="dxa"/>
            <w:tcBorders>
              <w:top w:val="single" w:sz="6" w:space="0" w:color="000000"/>
              <w:start w:val="single" w:sz="12" w:space="0" w:color="000000"/>
              <w:bottom w:val="single" w:sz="6" w:space="0" w:color="000000"/>
              <w:end w:val="single" w:sz="6" w:space="0" w:color="000000"/>
            </w:tcBorders>
            <w:shd w:fill="FFFFB2" w:val="clear"/>
          </w:tcPr>
          <w:p>
            <w:pPr>
              <w:pStyle w:val="Normal"/>
              <w:widowControl w:val="false"/>
              <w:bidi w:val="0"/>
              <w:spacing w:before="120" w:after="120"/>
              <w:jc w:val="both"/>
              <w:rPr/>
            </w:pPr>
            <w:r>
              <w:rPr/>
              <w:t>TIME (CPT) – Day prior to Operating Day</w:t>
            </w:r>
          </w:p>
        </w:tc>
        <w:tc>
          <w:tcPr>
            <w:tcW w:w="6570" w:type="dxa"/>
            <w:tcBorders>
              <w:top w:val="single" w:sz="6" w:space="0" w:color="000000"/>
              <w:start w:val="single" w:sz="6" w:space="0" w:color="000000"/>
              <w:bottom w:val="single" w:sz="6" w:space="0" w:color="000000"/>
              <w:end w:val="single" w:sz="12" w:space="0" w:color="000000"/>
            </w:tcBorders>
            <w:shd w:fill="FFFFB2" w:val="clear"/>
          </w:tcPr>
          <w:p>
            <w:pPr>
              <w:pStyle w:val="Normal"/>
              <w:widowControl w:val="false"/>
              <w:bidi w:val="0"/>
              <w:spacing w:before="120" w:after="120"/>
              <w:jc w:val="both"/>
              <w:rPr/>
            </w:pPr>
            <w:r>
              <w:rPr/>
              <w:t>DEADLINES (for both the SERC ISO and CUSTOMER)</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05:30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CUSTOMER – Provide initial estimate of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06:00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ISO provides forecast of load &amp; AS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07:00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CUSTOMER – Provide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09:00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CUSTOMER – Deadline for changes to load and resource schedule section of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09:30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CUSTOMER – Deadline for changes to QSE to QSE trade schedule section of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10:30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Upload balanced schedules to ISO to pre-check for mismatch</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11:00</w:t>
            </w:r>
          </w:p>
        </w:tc>
        <w:tc>
          <w:tcPr>
            <w:tcW w:w="6570" w:type="dxa"/>
            <w:tcBorders>
              <w:top w:val="single" w:sz="6" w:space="0" w:color="000000"/>
              <w:start w:val="single" w:sz="6" w:space="0" w:color="000000"/>
              <w:bottom w:val="single" w:sz="6" w:space="0" w:color="000000"/>
              <w:end w:val="single" w:sz="12" w:space="0" w:color="000000"/>
            </w:tcBorders>
          </w:tcPr>
          <w:p>
            <w:pPr>
              <w:pStyle w:val="Index1"/>
              <w:rPr/>
            </w:pPr>
            <w:r>
              <w:rPr/>
              <w:t>ISO – Submit balanced energy schedule of obligations and resources and any self-arranged AS schedule to ISO.  Validates schedules and notify affected QSEs of any invalid or mismatched schedules.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11:15</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Clear mismatches between QSEs.  Notifies market of congestion.  Takes submission of corrected schedules.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11:30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CUSTOMER – Deadline for final AS bid/offer schedules for Regulation Up, Regulation Down, Responsive Reserve, and Non-Spin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13:00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Deadline to submit adjusted schedule to ISO for congestion.  Deadline to receive AS bid/offer schedules for Regulation Up, Regulation Down, Responsive Reserve, and Non-Spin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13:30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Awards AS bids/offers for Regulation Up, Regulation Down, Responsive Reserve, and Non-Spin to QSEs and publishes MCPCs</w:t>
            </w:r>
          </w:p>
          <w:p>
            <w:pPr>
              <w:pStyle w:val="Normal"/>
              <w:rPr/>
            </w:pPr>
            <w:r>
              <w:rPr/>
            </w:r>
          </w:p>
          <w:p>
            <w:pPr>
              <w:pStyle w:val="Normal"/>
              <w:widowControl w:val="false"/>
              <w:bidi w:val="0"/>
              <w:spacing w:before="120" w:after="120"/>
              <w:jc w:val="both"/>
              <w:rPr/>
            </w:pPr>
            <w:r>
              <w:rPr/>
              <w:t>CUSTOMER – Deadline for Customers to modify resource plan (resource/unit specific information) and resource specific Replacement Reserve bids/offers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14:30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QSEs submit resource plans and resource specific Replacement Reserve bids/offers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16:30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 xml:space="preserve">ISO – Awards AS bids/offers for Replacement Reserve to QSEs and publishes Maps </w:t>
            </w:r>
          </w:p>
        </w:tc>
      </w:tr>
    </w:tbl>
    <w:p>
      <w:pPr>
        <w:pStyle w:val="Normal"/>
        <w:rPr>
          <w:b/>
        </w:rPr>
      </w:pPr>
      <w:r>
        <w:rPr>
          <w:b/>
        </w:rPr>
      </w:r>
    </w:p>
    <w:p>
      <w:pPr>
        <w:pStyle w:val="Normal"/>
        <w:rPr>
          <w:b/>
        </w:rPr>
      </w:pPr>
      <w:r>
        <w:rPr>
          <w:b/>
        </w:rPr>
      </w:r>
    </w:p>
    <w:p>
      <w:pPr>
        <w:pStyle w:val="Normal"/>
        <w:rPr>
          <w:b/>
        </w:rPr>
      </w:pPr>
      <w:r>
        <w:rPr>
          <w:b/>
        </w:rPr>
      </w:r>
    </w:p>
    <w:p>
      <w:pPr>
        <w:pStyle w:val="ArticleL2"/>
        <w:keepNext w:val="false"/>
        <w:widowControl/>
        <w:numPr>
          <w:ilvl w:val="1"/>
          <w:numId w:val="9"/>
        </w:numPr>
        <w:tabs>
          <w:tab w:val="clear" w:pos="1440"/>
          <w:tab w:val="clear" w:pos="1584"/>
        </w:tabs>
        <w:spacing w:before="0" w:after="0"/>
        <w:ind w:hanging="0" w:start="0" w:end="0"/>
        <w:rPr>
          <w:rFonts w:ascii="Courier" w:hAnsi="Courier" w:cs="Courier"/>
          <w:b w:val="false"/>
          <w:sz w:val="26"/>
        </w:rPr>
      </w:pPr>
      <w:r>
        <w:rPr>
          <w:u w:val="single"/>
        </w:rPr>
        <w:t>Adjustment Period Scheduling Process</w:t>
      </w:r>
      <w:r>
        <w:rPr/>
        <w:t xml:space="preserve">.  </w:t>
      </w:r>
      <w:r>
        <w:rPr>
          <w:rFonts w:cs="Times New Roman" w:ascii="Times New Roman" w:hAnsi="Times New Roman"/>
          <w:b w:val="false"/>
        </w:rPr>
        <w:t>The Adjustment Period Scheduling Process will follow the following timeline with time T being the start of the Operating Hour.</w:t>
      </w:r>
      <w:r>
        <w:rPr>
          <w:b w:val="false"/>
        </w:rPr>
        <w:t xml:space="preserve">   </w:t>
      </w:r>
      <w:r>
        <w:rPr>
          <w:rFonts w:cs="Courier" w:ascii="Courier" w:hAnsi="Courier"/>
          <w:b w:val="false"/>
          <w:sz w:val="26"/>
        </w:rPr>
        <w:t xml:space="preserve">  </w:t>
      </w:r>
    </w:p>
    <w:p>
      <w:pPr>
        <w:pStyle w:val="Footer"/>
        <w:tabs>
          <w:tab w:val="clear" w:pos="8640"/>
          <w:tab w:val="center" w:pos="5040" w:leader="none"/>
        </w:tabs>
        <w:rPr>
          <w:rFonts w:ascii="Courier" w:hAnsi="Courier" w:cs="Courier"/>
          <w:b/>
          <w:sz w:val="26"/>
        </w:rPr>
      </w:pPr>
      <w:r>
        <w:rPr>
          <w:rFonts w:cs="Courier" w:ascii="Courier" w:hAnsi="Courier"/>
          <w:b/>
          <w:sz w:val="26"/>
        </w:rPr>
      </w:r>
    </w:p>
    <w:tbl>
      <w:tblPr>
        <w:tblW w:w="9468" w:type="dxa"/>
        <w:jc w:val="start"/>
        <w:tblInd w:w="0" w:type="dxa"/>
        <w:tblLayout w:type="fixed"/>
        <w:tblCellMar>
          <w:top w:w="0" w:type="dxa"/>
          <w:start w:w="108" w:type="dxa"/>
          <w:bottom w:w="0" w:type="dxa"/>
          <w:end w:w="108" w:type="dxa"/>
        </w:tblCellMar>
      </w:tblPr>
      <w:tblGrid>
        <w:gridCol w:w="2898"/>
        <w:gridCol w:w="6570"/>
      </w:tblGrid>
      <w:tr>
        <w:trPr/>
        <w:tc>
          <w:tcPr>
            <w:tcW w:w="2898" w:type="dxa"/>
            <w:tcBorders>
              <w:top w:val="single" w:sz="6" w:space="0" w:color="000000"/>
              <w:start w:val="single" w:sz="12" w:space="0" w:color="000000"/>
              <w:bottom w:val="single" w:sz="6" w:space="0" w:color="000000"/>
              <w:end w:val="single" w:sz="6" w:space="0" w:color="000000"/>
            </w:tcBorders>
            <w:shd w:fill="FFFFB2" w:val="clear"/>
          </w:tcPr>
          <w:p>
            <w:pPr>
              <w:pStyle w:val="Normal"/>
              <w:widowControl w:val="false"/>
              <w:bidi w:val="0"/>
              <w:spacing w:before="120" w:after="120"/>
              <w:jc w:val="both"/>
              <w:rPr/>
            </w:pPr>
            <w:r>
              <w:rPr/>
              <w:t>Adjustment Period</w:t>
            </w:r>
          </w:p>
        </w:tc>
        <w:tc>
          <w:tcPr>
            <w:tcW w:w="6570" w:type="dxa"/>
            <w:tcBorders>
              <w:top w:val="single" w:sz="6" w:space="0" w:color="000000"/>
              <w:start w:val="single" w:sz="6" w:space="0" w:color="000000"/>
              <w:bottom w:val="single" w:sz="6" w:space="0" w:color="000000"/>
              <w:end w:val="single" w:sz="12" w:space="0" w:color="000000"/>
            </w:tcBorders>
            <w:shd w:fill="FFFFB2" w:val="clear"/>
          </w:tcPr>
          <w:p>
            <w:pPr>
              <w:pStyle w:val="Normal"/>
              <w:widowControl w:val="false"/>
              <w:bidi w:val="0"/>
              <w:spacing w:before="120" w:after="120"/>
              <w:jc w:val="both"/>
              <w:rPr/>
            </w:pPr>
            <w:r>
              <w:rPr/>
              <w:t>DEADLINES (for both the SERC ISO and CUSTOMER)</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Time= T minus 120 minutes</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CUSTOMER – Provide updated Customer Information for the hour beginning at time T.  Provide bids for Balancing Energy including any mandatory decremental Balancing Energy bids and submit TCRs, updates to Resource Plan,  Replacement Reserve bids, Additional AS bids, and bids for incremental and decremental resource specific premiums.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Time= T minus 60 minutes</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Deadline to submit balanced schedule of obligations and supply for hour beginning at time T, bids for Balancing Energy including any mandatory decremental Balancing Energy bids and submit TCRs, updates to Resource Plan,  Replacement Reserve bids, Additional AS bids, and bids for incremental and decremental resource specific premiums.</w:t>
            </w:r>
          </w:p>
          <w:p>
            <w:pPr>
              <w:pStyle w:val="Normal"/>
              <w:rPr/>
            </w:pPr>
            <w:r>
              <w:rPr/>
            </w:r>
          </w:p>
          <w:p>
            <w:pPr>
              <w:pStyle w:val="Normal"/>
              <w:widowControl w:val="false"/>
              <w:bidi w:val="0"/>
              <w:spacing w:before="120" w:after="120"/>
              <w:jc w:val="both"/>
              <w:rPr/>
            </w:pPr>
            <w:r>
              <w:rPr/>
              <w:t>ISO – Validates schedules and notifies QSEs of any invalid or mismatched schedules.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Time= T minus 45 minutes</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Submit corrected schedules.</w:t>
            </w:r>
          </w:p>
        </w:tc>
      </w:tr>
    </w:tbl>
    <w:p>
      <w:pPr>
        <w:pStyle w:val="Normal"/>
        <w:rPr>
          <w:b/>
        </w:rPr>
      </w:pPr>
      <w:r>
        <w:rPr>
          <w:b/>
        </w:rPr>
      </w:r>
      <w:r>
        <w:br w:type="page"/>
      </w:r>
    </w:p>
    <w:p>
      <w:pPr>
        <w:pStyle w:val="DefaultText"/>
        <w:widowControl/>
        <w:overflowPunct w:val="true"/>
        <w:autoSpaceDE w:val="true"/>
        <w:spacing w:before="120" w:after="120"/>
        <w:jc w:val="center"/>
        <w:textAlignment w:val="auto"/>
        <w:rPr>
          <w:b/>
        </w:rPr>
      </w:pPr>
      <w:r>
        <w:rPr>
          <w:b/>
        </w:rPr>
        <w:t>SCHEDULE 1</w:t>
      </w:r>
    </w:p>
    <w:p>
      <w:pPr>
        <w:pStyle w:val="DefaultText"/>
        <w:widowControl/>
        <w:overflowPunct w:val="true"/>
        <w:autoSpaceDE w:val="true"/>
        <w:spacing w:before="120" w:after="120"/>
        <w:jc w:val="center"/>
        <w:textAlignment w:val="auto"/>
        <w:rPr/>
      </w:pPr>
      <w:r>
        <w:rPr/>
        <w:t>EXISTING TRANSACTIONS</w:t>
      </w:r>
    </w:p>
    <w:p>
      <w:pPr>
        <w:pStyle w:val="DefaultText"/>
        <w:widowControl/>
        <w:overflowPunct w:val="true"/>
        <w:autoSpaceDE w:val="true"/>
        <w:spacing w:before="120" w:after="120"/>
        <w:jc w:val="center"/>
        <w:textAlignment w:val="auto"/>
        <w:rPr/>
      </w:pPr>
      <w:r>
        <w:rPr/>
        <w:t>[FRONTERA TO PREPARE]</w:t>
      </w:r>
      <w:r>
        <w:br w:type="page"/>
      </w:r>
    </w:p>
    <w:p>
      <w:pPr>
        <w:pStyle w:val="DefaultText"/>
        <w:widowControl/>
        <w:overflowPunct w:val="true"/>
        <w:autoSpaceDE w:val="true"/>
        <w:spacing w:before="120" w:after="120"/>
        <w:jc w:val="center"/>
        <w:textAlignment w:val="auto"/>
        <w:rPr>
          <w:b/>
        </w:rPr>
      </w:pPr>
      <w:r>
        <w:rPr>
          <w:b/>
        </w:rPr>
        <w:t>SCHEDULE 2</w:t>
      </w:r>
    </w:p>
    <w:p>
      <w:pPr>
        <w:pStyle w:val="DefaultText"/>
        <w:widowControl/>
        <w:overflowPunct w:val="true"/>
        <w:autoSpaceDE w:val="true"/>
        <w:spacing w:before="120" w:after="120"/>
        <w:jc w:val="center"/>
        <w:textAlignment w:val="auto"/>
        <w:rPr/>
      </w:pPr>
      <w:r>
        <w:rPr/>
        <w:t>EARLY TERMINATION INCENTIVE</w:t>
      </w:r>
    </w:p>
    <w:p>
      <w:pPr>
        <w:pStyle w:val="DefaultText"/>
        <w:widowControl/>
        <w:overflowPunct w:val="true"/>
        <w:autoSpaceDE w:val="true"/>
        <w:spacing w:before="120" w:after="120"/>
        <w:jc w:val="center"/>
        <w:textAlignment w:val="auto"/>
        <w:rPr/>
      </w:pPr>
      <w:r>
        <w:rPr/>
        <w:t>FEE THRESHOLDS</w:t>
      </w:r>
    </w:p>
    <w:p>
      <w:pPr>
        <w:pStyle w:val="DefaultText"/>
        <w:widowControl/>
        <w:overflowPunct w:val="true"/>
        <w:autoSpaceDE w:val="true"/>
        <w:spacing w:before="120" w:after="120"/>
        <w:jc w:val="center"/>
        <w:textAlignment w:val="auto"/>
        <w:rPr/>
      </w:pPr>
      <w:r>
        <w:rPr/>
      </w:r>
    </w:p>
    <w:p>
      <w:pPr>
        <w:pStyle w:val="DefaultText"/>
        <w:widowControl/>
        <w:numPr>
          <w:ilvl w:val="0"/>
          <w:numId w:val="5"/>
        </w:numPr>
        <w:overflowPunct w:val="true"/>
        <w:autoSpaceDE w:val="true"/>
        <w:spacing w:before="120" w:after="120"/>
        <w:textAlignment w:val="auto"/>
        <w:rPr/>
      </w:pPr>
      <w:r>
        <w:rPr/>
        <w:t>If the termination is effective prior to December 31, 2001, the amounts specified in Section 16(b)(3)(a) and (b) shall be revised as set forth below based upon the month in which the termination is effective:</w:t>
      </w:r>
    </w:p>
    <w:tbl>
      <w:tblPr>
        <w:tblW w:w="8848" w:type="dxa"/>
        <w:jc w:val="start"/>
        <w:tblInd w:w="0" w:type="dxa"/>
        <w:tblLayout w:type="fixed"/>
        <w:tblCellMar>
          <w:top w:w="0" w:type="dxa"/>
          <w:start w:w="108" w:type="dxa"/>
          <w:bottom w:w="0" w:type="dxa"/>
          <w:end w:w="108" w:type="dxa"/>
        </w:tblCellMar>
      </w:tblPr>
      <w:tblGrid>
        <w:gridCol w:w="1363"/>
        <w:gridCol w:w="3356"/>
        <w:gridCol w:w="4129"/>
      </w:tblGrid>
      <w:tr>
        <w:trPr/>
        <w:tc>
          <w:tcPr>
            <w:tcW w:w="1363" w:type="dxa"/>
            <w:tcBorders>
              <w:top w:val="single" w:sz="4" w:space="0" w:color="000000"/>
              <w:start w:val="single" w:sz="4" w:space="0" w:color="000000"/>
              <w:bottom w:val="single" w:sz="4" w:space="0" w:color="000000"/>
              <w:end w:val="single" w:sz="4" w:space="0" w:color="000000"/>
            </w:tcBorders>
          </w:tcPr>
          <w:p>
            <w:pPr>
              <w:pStyle w:val="DefaultText"/>
              <w:widowControl/>
              <w:overflowPunct w:val="true"/>
              <w:autoSpaceDE w:val="true"/>
              <w:spacing w:before="120" w:after="120"/>
              <w:textAlignment w:val="auto"/>
              <w:rPr/>
            </w:pPr>
            <w:r>
              <w:rPr/>
              <w:t>Month in which termination is effective</w:t>
            </w:r>
          </w:p>
        </w:tc>
        <w:tc>
          <w:tcPr>
            <w:tcW w:w="3356" w:type="dxa"/>
            <w:tcBorders>
              <w:top w:val="single" w:sz="4" w:space="0" w:color="000000"/>
              <w:start w:val="single" w:sz="4" w:space="0" w:color="000000"/>
              <w:bottom w:val="single" w:sz="4" w:space="0" w:color="000000"/>
              <w:end w:val="single" w:sz="4" w:space="0" w:color="000000"/>
            </w:tcBorders>
          </w:tcPr>
          <w:p>
            <w:pPr>
              <w:pStyle w:val="DefaultText"/>
              <w:widowControl/>
              <w:overflowPunct w:val="true"/>
              <w:autoSpaceDE w:val="true"/>
              <w:spacing w:lineRule="auto" w:line="360" w:before="120" w:after="120"/>
              <w:textAlignment w:val="auto"/>
              <w:rPr/>
            </w:pPr>
            <w:r>
              <w:rPr/>
              <w:t>5% Threshold</w:t>
            </w:r>
          </w:p>
        </w:tc>
        <w:tc>
          <w:tcPr>
            <w:tcW w:w="4129" w:type="dxa"/>
            <w:tcBorders>
              <w:top w:val="single" w:sz="4" w:space="0" w:color="000000"/>
              <w:start w:val="single" w:sz="4" w:space="0" w:color="000000"/>
              <w:bottom w:val="single" w:sz="4" w:space="0" w:color="000000"/>
              <w:end w:val="single" w:sz="4" w:space="0" w:color="000000"/>
            </w:tcBorders>
          </w:tcPr>
          <w:p>
            <w:pPr>
              <w:pStyle w:val="DefaultText"/>
              <w:widowControl/>
              <w:overflowPunct w:val="true"/>
              <w:autoSpaceDE w:val="true"/>
              <w:spacing w:before="120" w:after="120"/>
              <w:textAlignment w:val="auto"/>
              <w:rPr/>
            </w:pPr>
            <w:r>
              <w:rPr/>
              <w:t>5% Ceiling/10% Threshold</w:t>
            </w:r>
          </w:p>
        </w:tc>
      </w:tr>
      <w:tr>
        <w:trPr/>
        <w:tc>
          <w:tcPr>
            <w:tcW w:w="1363" w:type="dxa"/>
            <w:tcBorders/>
          </w:tcPr>
          <w:p>
            <w:pPr>
              <w:pStyle w:val="DefaultText"/>
              <w:widowControl/>
              <w:overflowPunct w:val="true"/>
              <w:autoSpaceDE w:val="true"/>
              <w:spacing w:before="120" w:after="120"/>
              <w:textAlignment w:val="auto"/>
              <w:rPr/>
            </w:pPr>
            <w:r>
              <w:rPr/>
              <w:t>April</w:t>
            </w:r>
          </w:p>
        </w:tc>
        <w:tc>
          <w:tcPr>
            <w:tcW w:w="3356" w:type="dxa"/>
            <w:tcBorders/>
          </w:tcPr>
          <w:p>
            <w:pPr>
              <w:pStyle w:val="DefaultText"/>
              <w:widowControl/>
              <w:overflowPunct w:val="true"/>
              <w:autoSpaceDE w:val="true"/>
              <w:spacing w:before="120" w:after="120"/>
              <w:jc w:val="center"/>
              <w:textAlignment w:val="auto"/>
              <w:rPr/>
            </w:pPr>
            <w:r>
              <w:rPr/>
              <w:t>1,002,499</w:t>
            </w:r>
          </w:p>
        </w:tc>
        <w:tc>
          <w:tcPr>
            <w:tcW w:w="4129" w:type="dxa"/>
            <w:tcBorders/>
          </w:tcPr>
          <w:p>
            <w:pPr>
              <w:pStyle w:val="DefaultText"/>
              <w:widowControl/>
              <w:overflowPunct w:val="true"/>
              <w:autoSpaceDE w:val="true"/>
              <w:spacing w:before="120" w:after="120"/>
              <w:jc w:val="center"/>
              <w:textAlignment w:val="auto"/>
              <w:rPr/>
            </w:pPr>
            <w:r>
              <w:rPr/>
              <w:t>1,366,665</w:t>
            </w:r>
          </w:p>
        </w:tc>
      </w:tr>
      <w:tr>
        <w:trPr/>
        <w:tc>
          <w:tcPr>
            <w:tcW w:w="1363" w:type="dxa"/>
            <w:tcBorders/>
          </w:tcPr>
          <w:p>
            <w:pPr>
              <w:pStyle w:val="DefaultText"/>
              <w:widowControl/>
              <w:overflowPunct w:val="true"/>
              <w:autoSpaceDE w:val="true"/>
              <w:spacing w:before="120" w:after="120"/>
              <w:textAlignment w:val="auto"/>
              <w:rPr/>
            </w:pPr>
            <w:r>
              <w:rPr/>
              <w:t>May</w:t>
            </w:r>
          </w:p>
        </w:tc>
        <w:tc>
          <w:tcPr>
            <w:tcW w:w="3356" w:type="dxa"/>
            <w:tcBorders/>
          </w:tcPr>
          <w:p>
            <w:pPr>
              <w:pStyle w:val="DefaultText"/>
              <w:widowControl/>
              <w:overflowPunct w:val="true"/>
              <w:autoSpaceDE w:val="true"/>
              <w:spacing w:before="120" w:after="120"/>
              <w:jc w:val="center"/>
              <w:textAlignment w:val="auto"/>
              <w:rPr/>
            </w:pPr>
            <w:r>
              <w:rPr/>
              <w:t>3,067,800</w:t>
            </w:r>
          </w:p>
        </w:tc>
        <w:tc>
          <w:tcPr>
            <w:tcW w:w="4129" w:type="dxa"/>
            <w:tcBorders/>
          </w:tcPr>
          <w:p>
            <w:pPr>
              <w:pStyle w:val="DefaultText"/>
              <w:widowControl/>
              <w:overflowPunct w:val="true"/>
              <w:autoSpaceDE w:val="true"/>
              <w:spacing w:before="120" w:after="120"/>
              <w:jc w:val="center"/>
              <w:textAlignment w:val="auto"/>
              <w:rPr/>
            </w:pPr>
            <w:r>
              <w:rPr/>
              <w:t>4,090,400</w:t>
            </w:r>
          </w:p>
        </w:tc>
      </w:tr>
      <w:tr>
        <w:trPr/>
        <w:tc>
          <w:tcPr>
            <w:tcW w:w="1363" w:type="dxa"/>
            <w:tcBorders/>
          </w:tcPr>
          <w:p>
            <w:pPr>
              <w:pStyle w:val="DefaultText"/>
              <w:widowControl/>
              <w:overflowPunct w:val="true"/>
              <w:autoSpaceDE w:val="true"/>
              <w:spacing w:before="120" w:after="120"/>
              <w:textAlignment w:val="auto"/>
              <w:rPr/>
            </w:pPr>
            <w:r>
              <w:rPr/>
              <w:t>June</w:t>
            </w:r>
          </w:p>
        </w:tc>
        <w:tc>
          <w:tcPr>
            <w:tcW w:w="3356" w:type="dxa"/>
            <w:tcBorders/>
          </w:tcPr>
          <w:p>
            <w:pPr>
              <w:pStyle w:val="DefaultText"/>
              <w:widowControl/>
              <w:overflowPunct w:val="true"/>
              <w:autoSpaceDE w:val="true"/>
              <w:spacing w:before="120" w:after="120"/>
              <w:jc w:val="center"/>
              <w:textAlignment w:val="auto"/>
              <w:rPr/>
            </w:pPr>
            <w:r>
              <w:rPr/>
              <w:t>5,448,084</w:t>
            </w:r>
          </w:p>
        </w:tc>
        <w:tc>
          <w:tcPr>
            <w:tcW w:w="4129" w:type="dxa"/>
            <w:tcBorders/>
          </w:tcPr>
          <w:p>
            <w:pPr>
              <w:pStyle w:val="DefaultText"/>
              <w:widowControl/>
              <w:overflowPunct w:val="true"/>
              <w:autoSpaceDE w:val="true"/>
              <w:spacing w:before="120" w:after="120"/>
              <w:jc w:val="center"/>
              <w:textAlignment w:val="auto"/>
              <w:rPr/>
            </w:pPr>
            <w:r>
              <w:rPr/>
              <w:t>7,264,112</w:t>
            </w:r>
          </w:p>
        </w:tc>
      </w:tr>
      <w:tr>
        <w:trPr/>
        <w:tc>
          <w:tcPr>
            <w:tcW w:w="1363" w:type="dxa"/>
            <w:tcBorders/>
          </w:tcPr>
          <w:p>
            <w:pPr>
              <w:pStyle w:val="DefaultText"/>
              <w:widowControl/>
              <w:overflowPunct w:val="true"/>
              <w:autoSpaceDE w:val="true"/>
              <w:spacing w:before="120" w:after="120"/>
              <w:textAlignment w:val="auto"/>
              <w:rPr/>
            </w:pPr>
            <w:r>
              <w:rPr/>
              <w:t>July</w:t>
            </w:r>
          </w:p>
        </w:tc>
        <w:tc>
          <w:tcPr>
            <w:tcW w:w="3356" w:type="dxa"/>
            <w:tcBorders/>
          </w:tcPr>
          <w:p>
            <w:pPr>
              <w:pStyle w:val="DefaultText"/>
              <w:widowControl/>
              <w:overflowPunct w:val="true"/>
              <w:autoSpaceDE w:val="true"/>
              <w:spacing w:before="120" w:after="120"/>
              <w:jc w:val="center"/>
              <w:textAlignment w:val="auto"/>
              <w:rPr/>
            </w:pPr>
            <w:r>
              <w:rPr/>
              <w:t>9,389,512</w:t>
            </w:r>
          </w:p>
        </w:tc>
        <w:tc>
          <w:tcPr>
            <w:tcW w:w="4129" w:type="dxa"/>
            <w:tcBorders/>
          </w:tcPr>
          <w:p>
            <w:pPr>
              <w:pStyle w:val="DefaultText"/>
              <w:widowControl/>
              <w:overflowPunct w:val="true"/>
              <w:autoSpaceDE w:val="true"/>
              <w:spacing w:before="120" w:after="120"/>
              <w:jc w:val="center"/>
              <w:textAlignment w:val="auto"/>
              <w:rPr/>
            </w:pPr>
            <w:r>
              <w:rPr/>
              <w:t>12,519,350</w:t>
            </w:r>
          </w:p>
        </w:tc>
      </w:tr>
      <w:tr>
        <w:trPr/>
        <w:tc>
          <w:tcPr>
            <w:tcW w:w="1363" w:type="dxa"/>
            <w:tcBorders/>
          </w:tcPr>
          <w:p>
            <w:pPr>
              <w:pStyle w:val="DefaultText"/>
              <w:widowControl/>
              <w:overflowPunct w:val="true"/>
              <w:autoSpaceDE w:val="true"/>
              <w:spacing w:before="120" w:after="120"/>
              <w:textAlignment w:val="auto"/>
              <w:rPr/>
            </w:pPr>
            <w:r>
              <w:rPr/>
              <w:t>August</w:t>
            </w:r>
          </w:p>
        </w:tc>
        <w:tc>
          <w:tcPr>
            <w:tcW w:w="3356" w:type="dxa"/>
            <w:tcBorders/>
          </w:tcPr>
          <w:p>
            <w:pPr>
              <w:pStyle w:val="DefaultText"/>
              <w:widowControl/>
              <w:overflowPunct w:val="true"/>
              <w:autoSpaceDE w:val="true"/>
              <w:spacing w:before="120" w:after="120"/>
              <w:jc w:val="center"/>
              <w:textAlignment w:val="auto"/>
              <w:rPr/>
            </w:pPr>
            <w:r>
              <w:rPr/>
              <w:t>13,337,368</w:t>
            </w:r>
          </w:p>
        </w:tc>
        <w:tc>
          <w:tcPr>
            <w:tcW w:w="4129" w:type="dxa"/>
            <w:tcBorders/>
          </w:tcPr>
          <w:p>
            <w:pPr>
              <w:pStyle w:val="DefaultText"/>
              <w:widowControl/>
              <w:overflowPunct w:val="true"/>
              <w:autoSpaceDE w:val="true"/>
              <w:spacing w:before="120" w:after="120"/>
              <w:jc w:val="center"/>
              <w:textAlignment w:val="auto"/>
              <w:rPr/>
            </w:pPr>
            <w:r>
              <w:rPr/>
              <w:t>17,783,158</w:t>
            </w:r>
          </w:p>
        </w:tc>
      </w:tr>
      <w:tr>
        <w:trPr/>
        <w:tc>
          <w:tcPr>
            <w:tcW w:w="1363" w:type="dxa"/>
            <w:tcBorders/>
          </w:tcPr>
          <w:p>
            <w:pPr>
              <w:pStyle w:val="DefaultText"/>
              <w:widowControl/>
              <w:overflowPunct w:val="true"/>
              <w:autoSpaceDE w:val="true"/>
              <w:spacing w:before="120" w:after="120"/>
              <w:textAlignment w:val="auto"/>
              <w:rPr/>
            </w:pPr>
            <w:r>
              <w:rPr/>
              <w:t>September</w:t>
            </w:r>
          </w:p>
        </w:tc>
        <w:tc>
          <w:tcPr>
            <w:tcW w:w="3356" w:type="dxa"/>
            <w:tcBorders/>
          </w:tcPr>
          <w:p>
            <w:pPr>
              <w:pStyle w:val="DefaultText"/>
              <w:widowControl/>
              <w:overflowPunct w:val="true"/>
              <w:autoSpaceDE w:val="true"/>
              <w:spacing w:before="120" w:after="120"/>
              <w:jc w:val="center"/>
              <w:textAlignment w:val="auto"/>
              <w:rPr/>
            </w:pPr>
            <w:r>
              <w:rPr/>
              <w:t>14,985,752</w:t>
            </w:r>
          </w:p>
        </w:tc>
        <w:tc>
          <w:tcPr>
            <w:tcW w:w="4129" w:type="dxa"/>
            <w:tcBorders/>
          </w:tcPr>
          <w:p>
            <w:pPr>
              <w:pStyle w:val="DefaultText"/>
              <w:widowControl/>
              <w:overflowPunct w:val="true"/>
              <w:autoSpaceDE w:val="true"/>
              <w:spacing w:before="120" w:after="120"/>
              <w:jc w:val="center"/>
              <w:textAlignment w:val="auto"/>
              <w:rPr/>
            </w:pPr>
            <w:r>
              <w:rPr/>
              <w:t>19,981,003</w:t>
            </w:r>
          </w:p>
        </w:tc>
      </w:tr>
      <w:tr>
        <w:trPr/>
        <w:tc>
          <w:tcPr>
            <w:tcW w:w="1363" w:type="dxa"/>
            <w:tcBorders/>
          </w:tcPr>
          <w:p>
            <w:pPr>
              <w:pStyle w:val="DefaultText"/>
              <w:widowControl/>
              <w:overflowPunct w:val="true"/>
              <w:autoSpaceDE w:val="true"/>
              <w:spacing w:before="120" w:after="120"/>
              <w:textAlignment w:val="auto"/>
              <w:rPr/>
            </w:pPr>
            <w:r>
              <w:rPr/>
              <w:t>October</w:t>
            </w:r>
          </w:p>
        </w:tc>
        <w:tc>
          <w:tcPr>
            <w:tcW w:w="3356" w:type="dxa"/>
            <w:tcBorders/>
          </w:tcPr>
          <w:p>
            <w:pPr>
              <w:pStyle w:val="DefaultText"/>
              <w:widowControl/>
              <w:overflowPunct w:val="true"/>
              <w:autoSpaceDE w:val="true"/>
              <w:spacing w:before="120" w:after="120"/>
              <w:jc w:val="center"/>
              <w:textAlignment w:val="auto"/>
              <w:rPr/>
            </w:pPr>
            <w:r>
              <w:rPr/>
              <w:t>15,871,012</w:t>
            </w:r>
          </w:p>
        </w:tc>
        <w:tc>
          <w:tcPr>
            <w:tcW w:w="4129" w:type="dxa"/>
            <w:tcBorders/>
          </w:tcPr>
          <w:p>
            <w:pPr>
              <w:pStyle w:val="DefaultText"/>
              <w:widowControl/>
              <w:overflowPunct w:val="true"/>
              <w:autoSpaceDE w:val="true"/>
              <w:spacing w:before="120" w:after="120"/>
              <w:jc w:val="center"/>
              <w:textAlignment w:val="auto"/>
              <w:rPr/>
            </w:pPr>
            <w:r>
              <w:rPr/>
              <w:t>21,161,350</w:t>
            </w:r>
          </w:p>
        </w:tc>
      </w:tr>
      <w:tr>
        <w:trPr/>
        <w:tc>
          <w:tcPr>
            <w:tcW w:w="1363" w:type="dxa"/>
            <w:tcBorders/>
          </w:tcPr>
          <w:p>
            <w:pPr>
              <w:pStyle w:val="DefaultText"/>
              <w:widowControl/>
              <w:overflowPunct w:val="true"/>
              <w:autoSpaceDE w:val="true"/>
              <w:spacing w:before="120" w:after="120"/>
              <w:textAlignment w:val="auto"/>
              <w:rPr/>
            </w:pPr>
            <w:r>
              <w:rPr/>
              <w:t>November</w:t>
            </w:r>
          </w:p>
        </w:tc>
        <w:tc>
          <w:tcPr>
            <w:tcW w:w="3356" w:type="dxa"/>
            <w:tcBorders/>
          </w:tcPr>
          <w:p>
            <w:pPr>
              <w:pStyle w:val="DefaultText"/>
              <w:widowControl/>
              <w:overflowPunct w:val="true"/>
              <w:autoSpaceDE w:val="true"/>
              <w:spacing w:before="120" w:after="120"/>
              <w:jc w:val="center"/>
              <w:textAlignment w:val="auto"/>
              <w:rPr/>
            </w:pPr>
            <w:r>
              <w:rPr/>
              <w:t>16,769,129</w:t>
            </w:r>
          </w:p>
        </w:tc>
        <w:tc>
          <w:tcPr>
            <w:tcW w:w="4129" w:type="dxa"/>
            <w:tcBorders/>
          </w:tcPr>
          <w:p>
            <w:pPr>
              <w:pStyle w:val="DefaultText"/>
              <w:widowControl/>
              <w:overflowPunct w:val="true"/>
              <w:autoSpaceDE w:val="true"/>
              <w:spacing w:before="120" w:after="120"/>
              <w:jc w:val="center"/>
              <w:textAlignment w:val="auto"/>
              <w:rPr/>
            </w:pPr>
            <w:r>
              <w:rPr/>
              <w:t>22,358,839</w:t>
            </w:r>
          </w:p>
        </w:tc>
      </w:tr>
      <w:tr>
        <w:trPr/>
        <w:tc>
          <w:tcPr>
            <w:tcW w:w="1363" w:type="dxa"/>
            <w:tcBorders/>
          </w:tcPr>
          <w:p>
            <w:pPr>
              <w:pStyle w:val="DefaultText"/>
              <w:widowControl/>
              <w:overflowPunct w:val="true"/>
              <w:autoSpaceDE w:val="true"/>
              <w:spacing w:before="120" w:after="120"/>
              <w:textAlignment w:val="auto"/>
              <w:rPr/>
            </w:pPr>
            <w:r>
              <w:rPr/>
              <w:t>December</w:t>
            </w:r>
          </w:p>
        </w:tc>
        <w:tc>
          <w:tcPr>
            <w:tcW w:w="3356" w:type="dxa"/>
            <w:tcBorders/>
          </w:tcPr>
          <w:p>
            <w:pPr>
              <w:pStyle w:val="DefaultText"/>
              <w:widowControl/>
              <w:overflowPunct w:val="true"/>
              <w:autoSpaceDE w:val="true"/>
              <w:spacing w:before="120" w:after="120"/>
              <w:jc w:val="center"/>
              <w:textAlignment w:val="auto"/>
              <w:rPr/>
            </w:pPr>
            <w:r>
              <w:rPr/>
              <w:t>17,590,107</w:t>
            </w:r>
          </w:p>
        </w:tc>
        <w:tc>
          <w:tcPr>
            <w:tcW w:w="4129" w:type="dxa"/>
            <w:tcBorders/>
          </w:tcPr>
          <w:p>
            <w:pPr>
              <w:pStyle w:val="DefaultText"/>
              <w:widowControl/>
              <w:overflowPunct w:val="true"/>
              <w:autoSpaceDE w:val="true"/>
              <w:spacing w:before="120" w:after="120"/>
              <w:jc w:val="center"/>
              <w:textAlignment w:val="auto"/>
              <w:rPr/>
            </w:pPr>
            <w:r>
              <w:rPr/>
              <w:t>23,453,476</w:t>
            </w:r>
          </w:p>
        </w:tc>
      </w:tr>
    </w:tbl>
    <w:p>
      <w:pPr>
        <w:sectPr>
          <w:footerReference w:type="default" r:id="rId2"/>
          <w:footerReference w:type="first" r:id="rId3"/>
          <w:type w:val="nextPage"/>
          <w:pgSz w:w="12240" w:h="15840"/>
          <w:pgMar w:left="1440" w:right="1440" w:gutter="0" w:header="0" w:top="1440" w:footer="432" w:bottom="1440"/>
          <w:pgNumType w:start="1" w:fmt="decimal"/>
          <w:formProt w:val="false"/>
          <w:titlePg/>
          <w:textDirection w:val="lrTb"/>
          <w:docGrid w:type="default" w:linePitch="360" w:charSpace="0"/>
        </w:sectPr>
      </w:pPr>
    </w:p>
    <w:p>
      <w:pPr>
        <w:pStyle w:val="DefaultText"/>
        <w:widowControl/>
        <w:numPr>
          <w:ilvl w:val="0"/>
          <w:numId w:val="0"/>
        </w:numPr>
        <w:overflowPunct w:val="true"/>
        <w:autoSpaceDE w:val="true"/>
        <w:spacing w:before="120" w:after="120"/>
        <w:textAlignment w:val="auto"/>
        <w:rPr/>
      </w:pPr>
      <w:r>
        <w:rPr/>
      </w:r>
      <w:r>
        <w:br w:type="page"/>
      </w:r>
    </w:p>
    <w:p>
      <w:pPr>
        <w:pStyle w:val="DefaultText"/>
        <w:widowControl/>
        <w:overflowPunct w:val="true"/>
        <w:autoSpaceDE w:val="true"/>
        <w:spacing w:before="120" w:after="120"/>
        <w:textAlignment w:val="auto"/>
        <w:rPr/>
      </w:pPr>
      <w:r>
        <w:rPr/>
      </w:r>
    </w:p>
    <w:p>
      <w:pPr>
        <w:pStyle w:val="DefaultText"/>
        <w:widowControl/>
        <w:numPr>
          <w:ilvl w:val="0"/>
          <w:numId w:val="5"/>
        </w:numPr>
        <w:overflowPunct w:val="true"/>
        <w:autoSpaceDE w:val="true"/>
        <w:spacing w:before="120" w:after="120"/>
        <w:textAlignment w:val="auto"/>
        <w:rPr/>
      </w:pPr>
      <w:r>
        <w:rPr/>
        <w:t>If the termination is effective after December 31, 2001, the amounts specified in Section 16(b)(2)(b) and (c) shall be revised as set forth below based upon the month in which the termination is effective:</w:t>
      </w:r>
    </w:p>
    <w:p>
      <w:pPr>
        <w:pStyle w:val="DefaultText"/>
        <w:widowControl/>
        <w:overflowPunct w:val="true"/>
        <w:autoSpaceDE w:val="true"/>
        <w:spacing w:before="120" w:after="120"/>
        <w:textAlignment w:val="auto"/>
        <w:rPr/>
      </w:pPr>
      <w:r>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op w:val="single" w:sz="4" w:space="0" w:color="000000"/>
              <w:start w:val="single" w:sz="4" w:space="0" w:color="000000"/>
              <w:bottom w:val="single" w:sz="4" w:space="0" w:color="000000"/>
              <w:end w:val="single" w:sz="4" w:space="0" w:color="000000"/>
            </w:tcBorders>
          </w:tcPr>
          <w:p>
            <w:pPr>
              <w:pStyle w:val="DefaultText"/>
              <w:widowControl/>
              <w:overflowPunct w:val="true"/>
              <w:autoSpaceDE w:val="true"/>
              <w:spacing w:before="120" w:after="120"/>
              <w:textAlignment w:val="auto"/>
              <w:rPr/>
            </w:pPr>
            <w:r>
              <w:rPr/>
              <w:t>Month in which termination is effective</w:t>
            </w:r>
          </w:p>
        </w:tc>
        <w:tc>
          <w:tcPr>
            <w:tcW w:w="3192" w:type="dxa"/>
            <w:tcBorders>
              <w:top w:val="single" w:sz="4" w:space="0" w:color="000000"/>
              <w:start w:val="single" w:sz="4" w:space="0" w:color="000000"/>
              <w:bottom w:val="single" w:sz="4" w:space="0" w:color="000000"/>
              <w:end w:val="single" w:sz="4" w:space="0" w:color="000000"/>
            </w:tcBorders>
          </w:tcPr>
          <w:p>
            <w:pPr>
              <w:pStyle w:val="DefaultText"/>
              <w:widowControl/>
              <w:overflowPunct w:val="true"/>
              <w:autoSpaceDE w:val="true"/>
              <w:spacing w:before="120" w:after="120"/>
              <w:textAlignment w:val="auto"/>
              <w:rPr/>
            </w:pPr>
            <w:r>
              <w:rPr/>
              <w:t>5% Threshold</w:t>
            </w:r>
          </w:p>
        </w:tc>
        <w:tc>
          <w:tcPr>
            <w:tcW w:w="3192" w:type="dxa"/>
            <w:tcBorders>
              <w:top w:val="single" w:sz="4" w:space="0" w:color="000000"/>
              <w:start w:val="single" w:sz="4" w:space="0" w:color="000000"/>
              <w:bottom w:val="single" w:sz="4" w:space="0" w:color="000000"/>
              <w:end w:val="single" w:sz="4" w:space="0" w:color="000000"/>
            </w:tcBorders>
          </w:tcPr>
          <w:p>
            <w:pPr>
              <w:pStyle w:val="DefaultText"/>
              <w:widowControl/>
              <w:overflowPunct w:val="true"/>
              <w:autoSpaceDE w:val="true"/>
              <w:spacing w:before="120" w:after="120"/>
              <w:textAlignment w:val="auto"/>
              <w:rPr/>
            </w:pPr>
            <w:r>
              <w:rPr/>
              <w:t>5% Ceiling/10% Threshold</w:t>
            </w:r>
          </w:p>
        </w:tc>
      </w:tr>
      <w:tr>
        <w:trPr/>
        <w:tc>
          <w:tcPr>
            <w:tcW w:w="3192" w:type="dxa"/>
            <w:tcBorders/>
          </w:tcPr>
          <w:p>
            <w:pPr>
              <w:pStyle w:val="DefaultText"/>
              <w:widowControl/>
              <w:overflowPunct w:val="true"/>
              <w:autoSpaceDE w:val="true"/>
              <w:spacing w:before="120" w:after="120"/>
              <w:textAlignment w:val="auto"/>
              <w:rPr/>
            </w:pPr>
            <w:r>
              <w:rPr/>
              <w:t>January</w:t>
            </w:r>
          </w:p>
        </w:tc>
        <w:tc>
          <w:tcPr>
            <w:tcW w:w="3192" w:type="dxa"/>
            <w:tcBorders/>
          </w:tcPr>
          <w:p>
            <w:pPr>
              <w:pStyle w:val="DefaultText"/>
              <w:widowControl/>
              <w:overflowPunct w:val="true"/>
              <w:autoSpaceDE w:val="true"/>
              <w:spacing w:before="120" w:after="120"/>
              <w:jc w:val="center"/>
              <w:textAlignment w:val="auto"/>
              <w:rPr/>
            </w:pPr>
            <w:r>
              <w:rPr/>
              <w:t>1,290,000</w:t>
            </w:r>
          </w:p>
        </w:tc>
        <w:tc>
          <w:tcPr>
            <w:tcW w:w="3192" w:type="dxa"/>
            <w:tcBorders/>
          </w:tcPr>
          <w:p>
            <w:pPr>
              <w:pStyle w:val="DefaultText"/>
              <w:widowControl/>
              <w:overflowPunct w:val="true"/>
              <w:autoSpaceDE w:val="true"/>
              <w:spacing w:before="120" w:after="120"/>
              <w:jc w:val="center"/>
              <w:textAlignment w:val="auto"/>
              <w:rPr/>
            </w:pPr>
            <w:r>
              <w:rPr/>
              <w:t>1,720,000</w:t>
            </w:r>
          </w:p>
        </w:tc>
      </w:tr>
      <w:tr>
        <w:trPr/>
        <w:tc>
          <w:tcPr>
            <w:tcW w:w="3192" w:type="dxa"/>
            <w:tcBorders/>
          </w:tcPr>
          <w:p>
            <w:pPr>
              <w:pStyle w:val="DefaultText"/>
              <w:widowControl/>
              <w:overflowPunct w:val="true"/>
              <w:autoSpaceDE w:val="true"/>
              <w:spacing w:before="120" w:after="120"/>
              <w:textAlignment w:val="auto"/>
              <w:rPr/>
            </w:pPr>
            <w:r>
              <w:rPr/>
              <w:t>February</w:t>
            </w:r>
          </w:p>
        </w:tc>
        <w:tc>
          <w:tcPr>
            <w:tcW w:w="3192" w:type="dxa"/>
            <w:tcBorders/>
          </w:tcPr>
          <w:p>
            <w:pPr>
              <w:pStyle w:val="DefaultText"/>
              <w:widowControl/>
              <w:overflowPunct w:val="true"/>
              <w:autoSpaceDE w:val="true"/>
              <w:spacing w:before="120" w:after="120"/>
              <w:jc w:val="center"/>
              <w:textAlignment w:val="auto"/>
              <w:rPr/>
            </w:pPr>
            <w:r>
              <w:rPr/>
              <w:t>2,640,000</w:t>
            </w:r>
          </w:p>
        </w:tc>
        <w:tc>
          <w:tcPr>
            <w:tcW w:w="3192" w:type="dxa"/>
            <w:tcBorders/>
          </w:tcPr>
          <w:p>
            <w:pPr>
              <w:pStyle w:val="DefaultText"/>
              <w:widowControl/>
              <w:overflowPunct w:val="true"/>
              <w:autoSpaceDE w:val="true"/>
              <w:spacing w:before="120" w:after="120"/>
              <w:jc w:val="center"/>
              <w:textAlignment w:val="auto"/>
              <w:rPr/>
            </w:pPr>
            <w:r>
              <w:rPr/>
              <w:t>3,520,000</w:t>
            </w:r>
          </w:p>
        </w:tc>
      </w:tr>
      <w:tr>
        <w:trPr/>
        <w:tc>
          <w:tcPr>
            <w:tcW w:w="3192" w:type="dxa"/>
            <w:tcBorders/>
          </w:tcPr>
          <w:p>
            <w:pPr>
              <w:pStyle w:val="DefaultText"/>
              <w:widowControl/>
              <w:overflowPunct w:val="true"/>
              <w:autoSpaceDE w:val="true"/>
              <w:spacing w:before="120" w:after="120"/>
              <w:textAlignment w:val="auto"/>
              <w:rPr/>
            </w:pPr>
            <w:r>
              <w:rPr/>
              <w:t>March</w:t>
            </w:r>
          </w:p>
        </w:tc>
        <w:tc>
          <w:tcPr>
            <w:tcW w:w="3192" w:type="dxa"/>
            <w:tcBorders/>
          </w:tcPr>
          <w:p>
            <w:pPr>
              <w:pStyle w:val="DefaultText"/>
              <w:widowControl/>
              <w:overflowPunct w:val="true"/>
              <w:autoSpaceDE w:val="true"/>
              <w:spacing w:before="120" w:after="120"/>
              <w:jc w:val="center"/>
              <w:textAlignment w:val="auto"/>
              <w:rPr/>
            </w:pPr>
            <w:r>
              <w:rPr/>
              <w:t>4,110,000</w:t>
            </w:r>
          </w:p>
        </w:tc>
        <w:tc>
          <w:tcPr>
            <w:tcW w:w="3192" w:type="dxa"/>
            <w:tcBorders/>
          </w:tcPr>
          <w:p>
            <w:pPr>
              <w:pStyle w:val="DefaultText"/>
              <w:widowControl/>
              <w:overflowPunct w:val="true"/>
              <w:autoSpaceDE w:val="true"/>
              <w:spacing w:before="120" w:after="120"/>
              <w:jc w:val="center"/>
              <w:textAlignment w:val="auto"/>
              <w:rPr/>
            </w:pPr>
            <w:r>
              <w:rPr/>
              <w:t>5,480,000</w:t>
            </w:r>
          </w:p>
        </w:tc>
      </w:tr>
      <w:tr>
        <w:trPr/>
        <w:tc>
          <w:tcPr>
            <w:tcW w:w="3192" w:type="dxa"/>
            <w:tcBorders/>
          </w:tcPr>
          <w:p>
            <w:pPr>
              <w:pStyle w:val="DefaultText"/>
              <w:widowControl/>
              <w:overflowPunct w:val="true"/>
              <w:autoSpaceDE w:val="true"/>
              <w:spacing w:before="120" w:after="120"/>
              <w:textAlignment w:val="auto"/>
              <w:rPr/>
            </w:pPr>
            <w:r>
              <w:rPr/>
              <w:t>April</w:t>
            </w:r>
          </w:p>
        </w:tc>
        <w:tc>
          <w:tcPr>
            <w:tcW w:w="3192" w:type="dxa"/>
            <w:tcBorders/>
          </w:tcPr>
          <w:p>
            <w:pPr>
              <w:pStyle w:val="DefaultText"/>
              <w:widowControl/>
              <w:overflowPunct w:val="true"/>
              <w:autoSpaceDE w:val="true"/>
              <w:spacing w:before="120" w:after="120"/>
              <w:jc w:val="center"/>
              <w:textAlignment w:val="auto"/>
              <w:rPr/>
            </w:pPr>
            <w:r>
              <w:rPr/>
              <w:t>5,880,000</w:t>
            </w:r>
          </w:p>
        </w:tc>
        <w:tc>
          <w:tcPr>
            <w:tcW w:w="3192" w:type="dxa"/>
            <w:tcBorders/>
          </w:tcPr>
          <w:p>
            <w:pPr>
              <w:pStyle w:val="DefaultText"/>
              <w:widowControl/>
              <w:overflowPunct w:val="true"/>
              <w:autoSpaceDE w:val="true"/>
              <w:spacing w:before="120" w:after="120"/>
              <w:jc w:val="center"/>
              <w:textAlignment w:val="auto"/>
              <w:rPr/>
            </w:pPr>
            <w:r>
              <w:rPr/>
              <w:t>7,840,000</w:t>
            </w:r>
          </w:p>
        </w:tc>
      </w:tr>
      <w:tr>
        <w:trPr/>
        <w:tc>
          <w:tcPr>
            <w:tcW w:w="3192" w:type="dxa"/>
            <w:tcBorders/>
          </w:tcPr>
          <w:p>
            <w:pPr>
              <w:pStyle w:val="DefaultText"/>
              <w:widowControl/>
              <w:overflowPunct w:val="true"/>
              <w:autoSpaceDE w:val="true"/>
              <w:spacing w:before="120" w:after="120"/>
              <w:textAlignment w:val="auto"/>
              <w:rPr/>
            </w:pPr>
            <w:r>
              <w:rPr/>
              <w:t>May</w:t>
            </w:r>
          </w:p>
        </w:tc>
        <w:tc>
          <w:tcPr>
            <w:tcW w:w="3192" w:type="dxa"/>
            <w:tcBorders/>
          </w:tcPr>
          <w:p>
            <w:pPr>
              <w:pStyle w:val="DefaultText"/>
              <w:widowControl/>
              <w:overflowPunct w:val="true"/>
              <w:autoSpaceDE w:val="true"/>
              <w:spacing w:before="120" w:after="120"/>
              <w:jc w:val="center"/>
              <w:textAlignment w:val="auto"/>
              <w:rPr/>
            </w:pPr>
            <w:r>
              <w:rPr/>
              <w:t>8,880,000</w:t>
            </w:r>
          </w:p>
        </w:tc>
        <w:tc>
          <w:tcPr>
            <w:tcW w:w="3192" w:type="dxa"/>
            <w:tcBorders/>
          </w:tcPr>
          <w:p>
            <w:pPr>
              <w:pStyle w:val="DefaultText"/>
              <w:widowControl/>
              <w:overflowPunct w:val="true"/>
              <w:autoSpaceDE w:val="true"/>
              <w:spacing w:before="120" w:after="120"/>
              <w:jc w:val="center"/>
              <w:textAlignment w:val="auto"/>
              <w:rPr/>
            </w:pPr>
            <w:r>
              <w:rPr/>
              <w:t>11,840,000</w:t>
            </w:r>
          </w:p>
        </w:tc>
      </w:tr>
      <w:tr>
        <w:trPr/>
        <w:tc>
          <w:tcPr>
            <w:tcW w:w="3192" w:type="dxa"/>
            <w:tcBorders/>
          </w:tcPr>
          <w:p>
            <w:pPr>
              <w:pStyle w:val="DefaultText"/>
              <w:widowControl/>
              <w:overflowPunct w:val="true"/>
              <w:autoSpaceDE w:val="true"/>
              <w:spacing w:before="120" w:after="120"/>
              <w:textAlignment w:val="auto"/>
              <w:rPr/>
            </w:pPr>
            <w:r>
              <w:rPr/>
              <w:t>June</w:t>
            </w:r>
          </w:p>
        </w:tc>
        <w:tc>
          <w:tcPr>
            <w:tcW w:w="3192" w:type="dxa"/>
            <w:tcBorders/>
          </w:tcPr>
          <w:p>
            <w:pPr>
              <w:pStyle w:val="DefaultText"/>
              <w:widowControl/>
              <w:overflowPunct w:val="true"/>
              <w:autoSpaceDE w:val="true"/>
              <w:spacing w:before="120" w:after="120"/>
              <w:jc w:val="center"/>
              <w:textAlignment w:val="auto"/>
              <w:rPr/>
            </w:pPr>
            <w:r>
              <w:rPr/>
              <w:t>12,330,000</w:t>
            </w:r>
          </w:p>
        </w:tc>
        <w:tc>
          <w:tcPr>
            <w:tcW w:w="3192" w:type="dxa"/>
            <w:tcBorders/>
          </w:tcPr>
          <w:p>
            <w:pPr>
              <w:pStyle w:val="DefaultText"/>
              <w:widowControl/>
              <w:overflowPunct w:val="true"/>
              <w:autoSpaceDE w:val="true"/>
              <w:spacing w:before="120" w:after="120"/>
              <w:jc w:val="center"/>
              <w:textAlignment w:val="auto"/>
              <w:rPr/>
            </w:pPr>
            <w:r>
              <w:rPr/>
              <w:t>16,440,000</w:t>
            </w:r>
          </w:p>
        </w:tc>
      </w:tr>
      <w:tr>
        <w:trPr/>
        <w:tc>
          <w:tcPr>
            <w:tcW w:w="3192" w:type="dxa"/>
            <w:tcBorders/>
          </w:tcPr>
          <w:p>
            <w:pPr>
              <w:pStyle w:val="DefaultText"/>
              <w:widowControl/>
              <w:overflowPunct w:val="true"/>
              <w:autoSpaceDE w:val="true"/>
              <w:spacing w:before="120" w:after="120"/>
              <w:textAlignment w:val="auto"/>
              <w:rPr/>
            </w:pPr>
            <w:r>
              <w:rPr/>
              <w:t>July</w:t>
            </w:r>
          </w:p>
        </w:tc>
        <w:tc>
          <w:tcPr>
            <w:tcW w:w="3192" w:type="dxa"/>
            <w:tcBorders/>
          </w:tcPr>
          <w:p>
            <w:pPr>
              <w:pStyle w:val="DefaultText"/>
              <w:widowControl/>
              <w:overflowPunct w:val="true"/>
              <w:autoSpaceDE w:val="true"/>
              <w:spacing w:before="120" w:after="120"/>
              <w:jc w:val="center"/>
              <w:textAlignment w:val="auto"/>
              <w:rPr/>
            </w:pPr>
            <w:r>
              <w:rPr/>
              <w:t>18,060,000</w:t>
            </w:r>
          </w:p>
        </w:tc>
        <w:tc>
          <w:tcPr>
            <w:tcW w:w="3192" w:type="dxa"/>
            <w:tcBorders/>
          </w:tcPr>
          <w:p>
            <w:pPr>
              <w:pStyle w:val="DefaultText"/>
              <w:widowControl/>
              <w:overflowPunct w:val="true"/>
              <w:autoSpaceDE w:val="true"/>
              <w:spacing w:before="120" w:after="120"/>
              <w:jc w:val="center"/>
              <w:textAlignment w:val="auto"/>
              <w:rPr/>
            </w:pPr>
            <w:r>
              <w:rPr/>
              <w:t>24,080,000</w:t>
            </w:r>
          </w:p>
        </w:tc>
      </w:tr>
      <w:tr>
        <w:trPr/>
        <w:tc>
          <w:tcPr>
            <w:tcW w:w="3192" w:type="dxa"/>
            <w:tcBorders/>
          </w:tcPr>
          <w:p>
            <w:pPr>
              <w:pStyle w:val="DefaultText"/>
              <w:widowControl/>
              <w:overflowPunct w:val="true"/>
              <w:autoSpaceDE w:val="true"/>
              <w:spacing w:before="120" w:after="120"/>
              <w:textAlignment w:val="auto"/>
              <w:rPr/>
            </w:pPr>
            <w:r>
              <w:rPr/>
              <w:t>August</w:t>
            </w:r>
          </w:p>
        </w:tc>
        <w:tc>
          <w:tcPr>
            <w:tcW w:w="3192" w:type="dxa"/>
            <w:tcBorders/>
          </w:tcPr>
          <w:p>
            <w:pPr>
              <w:pStyle w:val="DefaultText"/>
              <w:widowControl/>
              <w:overflowPunct w:val="true"/>
              <w:autoSpaceDE w:val="true"/>
              <w:spacing w:before="120" w:after="120"/>
              <w:jc w:val="center"/>
              <w:textAlignment w:val="auto"/>
              <w:rPr/>
            </w:pPr>
            <w:r>
              <w:rPr/>
              <w:t>23,820,000</w:t>
            </w:r>
          </w:p>
        </w:tc>
        <w:tc>
          <w:tcPr>
            <w:tcW w:w="3192" w:type="dxa"/>
            <w:tcBorders/>
          </w:tcPr>
          <w:p>
            <w:pPr>
              <w:pStyle w:val="DefaultText"/>
              <w:widowControl/>
              <w:overflowPunct w:val="true"/>
              <w:autoSpaceDE w:val="true"/>
              <w:spacing w:before="120" w:after="120"/>
              <w:jc w:val="center"/>
              <w:textAlignment w:val="auto"/>
              <w:rPr/>
            </w:pPr>
            <w:r>
              <w:rPr/>
              <w:t>31,760,000</w:t>
            </w:r>
          </w:p>
        </w:tc>
      </w:tr>
      <w:tr>
        <w:trPr/>
        <w:tc>
          <w:tcPr>
            <w:tcW w:w="3192" w:type="dxa"/>
            <w:tcBorders/>
          </w:tcPr>
          <w:p>
            <w:pPr>
              <w:pStyle w:val="DefaultText"/>
              <w:widowControl/>
              <w:overflowPunct w:val="true"/>
              <w:autoSpaceDE w:val="true"/>
              <w:spacing w:before="120" w:after="120"/>
              <w:textAlignment w:val="auto"/>
              <w:rPr/>
            </w:pPr>
            <w:r>
              <w:rPr/>
              <w:t>September</w:t>
            </w:r>
          </w:p>
        </w:tc>
        <w:tc>
          <w:tcPr>
            <w:tcW w:w="3192" w:type="dxa"/>
            <w:tcBorders/>
          </w:tcPr>
          <w:p>
            <w:pPr>
              <w:pStyle w:val="DefaultText"/>
              <w:widowControl/>
              <w:overflowPunct w:val="true"/>
              <w:autoSpaceDE w:val="true"/>
              <w:spacing w:before="120" w:after="120"/>
              <w:jc w:val="center"/>
              <w:textAlignment w:val="auto"/>
              <w:rPr/>
            </w:pPr>
            <w:r>
              <w:rPr/>
              <w:t>26,220,000</w:t>
            </w:r>
          </w:p>
        </w:tc>
        <w:tc>
          <w:tcPr>
            <w:tcW w:w="3192" w:type="dxa"/>
            <w:tcBorders/>
          </w:tcPr>
          <w:p>
            <w:pPr>
              <w:pStyle w:val="DefaultText"/>
              <w:widowControl/>
              <w:overflowPunct w:val="true"/>
              <w:autoSpaceDE w:val="true"/>
              <w:spacing w:before="120" w:after="120"/>
              <w:jc w:val="center"/>
              <w:textAlignment w:val="auto"/>
              <w:rPr/>
            </w:pPr>
            <w:r>
              <w:rPr/>
              <w:t>34,960,000</w:t>
            </w:r>
          </w:p>
        </w:tc>
      </w:tr>
      <w:tr>
        <w:trPr/>
        <w:tc>
          <w:tcPr>
            <w:tcW w:w="3192" w:type="dxa"/>
            <w:tcBorders/>
          </w:tcPr>
          <w:p>
            <w:pPr>
              <w:pStyle w:val="DefaultText"/>
              <w:widowControl/>
              <w:overflowPunct w:val="true"/>
              <w:autoSpaceDE w:val="true"/>
              <w:spacing w:before="120" w:after="120"/>
              <w:textAlignment w:val="auto"/>
              <w:rPr/>
            </w:pPr>
            <w:r>
              <w:rPr/>
              <w:t>October</w:t>
            </w:r>
          </w:p>
        </w:tc>
        <w:tc>
          <w:tcPr>
            <w:tcW w:w="3192" w:type="dxa"/>
            <w:tcBorders/>
          </w:tcPr>
          <w:p>
            <w:pPr>
              <w:pStyle w:val="DefaultText"/>
              <w:widowControl/>
              <w:overflowPunct w:val="true"/>
              <w:autoSpaceDE w:val="true"/>
              <w:spacing w:before="120" w:after="120"/>
              <w:jc w:val="center"/>
              <w:textAlignment w:val="auto"/>
              <w:rPr/>
            </w:pPr>
            <w:r>
              <w:rPr/>
              <w:t>27,510,000</w:t>
            </w:r>
          </w:p>
        </w:tc>
        <w:tc>
          <w:tcPr>
            <w:tcW w:w="3192" w:type="dxa"/>
            <w:tcBorders/>
          </w:tcPr>
          <w:p>
            <w:pPr>
              <w:pStyle w:val="DefaultText"/>
              <w:widowControl/>
              <w:overflowPunct w:val="true"/>
              <w:autoSpaceDE w:val="true"/>
              <w:spacing w:before="120" w:after="120"/>
              <w:jc w:val="center"/>
              <w:textAlignment w:val="auto"/>
              <w:rPr/>
            </w:pPr>
            <w:r>
              <w:rPr/>
              <w:t>36,680,000</w:t>
            </w:r>
          </w:p>
        </w:tc>
      </w:tr>
      <w:tr>
        <w:trPr/>
        <w:tc>
          <w:tcPr>
            <w:tcW w:w="3192" w:type="dxa"/>
            <w:tcBorders/>
          </w:tcPr>
          <w:p>
            <w:pPr>
              <w:pStyle w:val="DefaultText"/>
              <w:widowControl/>
              <w:overflowPunct w:val="true"/>
              <w:autoSpaceDE w:val="true"/>
              <w:spacing w:before="120" w:after="120"/>
              <w:textAlignment w:val="auto"/>
              <w:rPr/>
            </w:pPr>
            <w:r>
              <w:rPr/>
              <w:t>November</w:t>
            </w:r>
          </w:p>
        </w:tc>
        <w:tc>
          <w:tcPr>
            <w:tcW w:w="3192" w:type="dxa"/>
            <w:tcBorders/>
          </w:tcPr>
          <w:p>
            <w:pPr>
              <w:pStyle w:val="DefaultText"/>
              <w:widowControl/>
              <w:overflowPunct w:val="true"/>
              <w:autoSpaceDE w:val="true"/>
              <w:spacing w:before="120" w:after="120"/>
              <w:jc w:val="center"/>
              <w:textAlignment w:val="auto"/>
              <w:rPr/>
            </w:pPr>
            <w:r>
              <w:rPr/>
              <w:t>28,800,000</w:t>
            </w:r>
          </w:p>
        </w:tc>
        <w:tc>
          <w:tcPr>
            <w:tcW w:w="3192" w:type="dxa"/>
            <w:tcBorders/>
          </w:tcPr>
          <w:p>
            <w:pPr>
              <w:pStyle w:val="DefaultText"/>
              <w:widowControl/>
              <w:overflowPunct w:val="true"/>
              <w:autoSpaceDE w:val="true"/>
              <w:spacing w:before="120" w:after="120"/>
              <w:jc w:val="center"/>
              <w:textAlignment w:val="auto"/>
              <w:rPr/>
            </w:pPr>
            <w:r>
              <w:rPr/>
              <w:t>38,400,000</w:t>
            </w:r>
          </w:p>
        </w:tc>
      </w:tr>
      <w:tr>
        <w:trPr/>
        <w:tc>
          <w:tcPr>
            <w:tcW w:w="3192" w:type="dxa"/>
            <w:tcBorders/>
          </w:tcPr>
          <w:p>
            <w:pPr>
              <w:pStyle w:val="DefaultText"/>
              <w:widowControl/>
              <w:overflowPunct w:val="true"/>
              <w:autoSpaceDE w:val="true"/>
              <w:spacing w:before="120" w:after="120"/>
              <w:textAlignment w:val="auto"/>
              <w:rPr/>
            </w:pPr>
            <w:r>
              <w:rPr/>
              <w:t>December</w:t>
            </w:r>
          </w:p>
        </w:tc>
        <w:tc>
          <w:tcPr>
            <w:tcW w:w="3192" w:type="dxa"/>
            <w:tcBorders/>
          </w:tcPr>
          <w:p>
            <w:pPr>
              <w:pStyle w:val="DefaultText"/>
              <w:widowControl/>
              <w:overflowPunct w:val="true"/>
              <w:autoSpaceDE w:val="true"/>
              <w:spacing w:before="120" w:after="120"/>
              <w:jc w:val="center"/>
              <w:textAlignment w:val="auto"/>
              <w:rPr/>
            </w:pPr>
            <w:r>
              <w:rPr/>
              <w:t>30,000,000</w:t>
            </w:r>
          </w:p>
        </w:tc>
        <w:tc>
          <w:tcPr>
            <w:tcW w:w="3192" w:type="dxa"/>
            <w:tcBorders/>
          </w:tcPr>
          <w:p>
            <w:pPr>
              <w:pStyle w:val="DefaultText"/>
              <w:widowControl/>
              <w:overflowPunct w:val="true"/>
              <w:autoSpaceDE w:val="true"/>
              <w:spacing w:before="120" w:after="120"/>
              <w:jc w:val="center"/>
              <w:textAlignment w:val="auto"/>
              <w:rPr/>
            </w:pPr>
            <w:r>
              <w:rPr/>
              <w:t>40,000,000</w:t>
            </w:r>
          </w:p>
        </w:tc>
      </w:tr>
    </w:tbl>
    <w:p>
      <w:pPr>
        <w:pStyle w:val="DefaultText"/>
        <w:widowControl/>
        <w:overflowPunct w:val="true"/>
        <w:autoSpaceDE w:val="true"/>
        <w:spacing w:before="120" w:after="120"/>
        <w:textAlignment w:val="auto"/>
        <w:rPr/>
      </w:pPr>
      <w:r>
        <w:rPr/>
      </w:r>
    </w:p>
    <w:p>
      <w:pPr>
        <w:pStyle w:val="DefaultText"/>
        <w:widowControl/>
        <w:overflowPunct w:val="true"/>
        <w:autoSpaceDE w:val="true"/>
        <w:spacing w:before="120" w:after="120"/>
        <w:textAlignment w:val="auto"/>
        <w:rPr/>
      </w:pPr>
      <w:r>
        <w:rPr/>
      </w:r>
    </w:p>
    <w:sectPr>
      <w:type w:val="continuous"/>
      <w:pgSz w:w="12240" w:h="15840"/>
      <w:pgMar w:left="1440" w:right="1440" w:gutter="0" w:header="0" w:top="1440" w:footer="432"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Times">
    <w:altName w:val="Times New Roman"/>
    <w:charset w:val="00" w:characterSet="windows-1252"/>
    <w:family w:val="roman"/>
    <w:pitch w:val="variable"/>
  </w:font>
  <w:font w:name="Tahoma">
    <w:charset w:val="00" w:characterSet="windows-1252"/>
    <w:family w:val="swiss"/>
    <w:pitch w:val="variable"/>
  </w:font>
  <w:font w:name="Courier">
    <w:altName w:val="Courier New"/>
    <w:charset w:val="00" w:characterSet="windows-1252"/>
    <w:family w:val="modern"/>
    <w:pitch w:val="default"/>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5040"/>
        <w:tab w:val="center" w:pos="4680" w:leader="none"/>
        <w:tab w:val="right" w:pos="8640" w:leader="none"/>
      </w:tabs>
      <w:spacing w:before="0" w:after="240"/>
      <w:jc w:val="center"/>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56</w:t>
    </w:r>
    <w:r>
      <w:rPr>
        <w:rStyle w:val="PageNumber"/>
        <w:sz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fldChar w:fldCharType="begin"/>
    </w:r>
    <w:r>
      <w:rPr/>
      <w:instrText xml:space="preserve"> FILENAME </w:instrText>
    </w:r>
    <w:r>
      <w:rPr/>
      <w:fldChar w:fldCharType="separate"/>
    </w:r>
    <w:r>
      <w:rPr/>
      <w:t>MDEA_ESMA__Mann4_3_Draft_-0d499292d3793726c94bf1d589d01bcf5adc9ef127c6c62544a7e1f218a568c4.doc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360"/>
      </w:pPr>
    </w:lvl>
  </w:abstractNum>
  <w:abstractNum w:abstractNumId="3">
    <w:lvl w:ilvl="0">
      <w:start w:val="31"/>
      <w:numFmt w:val="decimal"/>
      <w:lvlText w:val="%1."/>
      <w:lvlJc w:val="start"/>
      <w:pPr>
        <w:tabs>
          <w:tab w:val="num" w:pos="1080"/>
        </w:tabs>
        <w:ind w:start="1080" w:hanging="720"/>
      </w:pPr>
      <w:rPr/>
    </w:lvl>
  </w:abstractNum>
  <w:abstractNum w:abstractNumId="4">
    <w:lvl w:ilvl="0">
      <w:start w:val="5"/>
      <w:numFmt w:val="decimal"/>
      <w:lvlText w:val="(%1)"/>
      <w:lvlJc w:val="start"/>
      <w:pPr>
        <w:tabs>
          <w:tab w:val="num" w:pos="2160"/>
        </w:tabs>
        <w:ind w:start="2160" w:hanging="720"/>
      </w:pPr>
      <w:rPr/>
    </w:lvl>
  </w:abstractNum>
  <w:abstractNum w:abstractNumId="5">
    <w:lvl w:ilvl="0">
      <w:start w:val="1"/>
      <w:numFmt w:val="upperLetter"/>
      <w:lvlText w:val="%1."/>
      <w:lvlJc w:val="start"/>
      <w:pPr>
        <w:tabs>
          <w:tab w:val="num" w:pos="720"/>
        </w:tabs>
        <w:ind w:start="720" w:hanging="720"/>
      </w:pPr>
      <w:rPr/>
    </w:lvl>
  </w:abstractNum>
  <w:abstractNum w:abstractNumId="6">
    <w:lvl w:ilvl="0">
      <w:start w:val="1"/>
      <w:numFmt w:val="lowerRoman"/>
      <w:lvlText w:val="(%1)"/>
      <w:lvlJc w:val="start"/>
      <w:pPr>
        <w:tabs>
          <w:tab w:val="num" w:pos="2160"/>
        </w:tabs>
        <w:ind w:start="2160" w:hanging="720"/>
      </w:pPr>
      <w:rPr/>
    </w:lvl>
  </w:abstractNum>
  <w:abstractNum w:abstractNumId="7">
    <w:lvl w:ilvl="0">
      <w:start w:val="4"/>
      <w:numFmt w:val="decimal"/>
      <w:lvlText w:val="%1."/>
      <w:lvlJc w:val="start"/>
      <w:pPr>
        <w:tabs>
          <w:tab w:val="num" w:pos="720"/>
        </w:tabs>
        <w:ind w:start="720" w:hanging="720"/>
      </w:pPr>
      <w:rPr/>
    </w:lvl>
  </w:abstractNum>
  <w:abstractNum w:abstractNumId="8">
    <w:lvl w:ilvl="0">
      <w:start w:val="1"/>
      <w:numFmt w:val="lowerLetter"/>
      <w:lvlText w:val="(%1)"/>
      <w:lvlJc w:val="start"/>
      <w:pPr>
        <w:tabs>
          <w:tab w:val="num" w:pos="1800"/>
        </w:tabs>
        <w:ind w:start="1800" w:hanging="36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9">
    <w:lvl w:ilvl="0">
      <w:start w:val="1"/>
      <w:numFmt w:val="decimal"/>
      <w:lvlText w:val="(%1)"/>
      <w:lvlJc w:val="start"/>
      <w:pPr>
        <w:tabs>
          <w:tab w:val="num" w:pos="1080"/>
        </w:tabs>
        <w:ind w:start="1080" w:hanging="720"/>
      </w:pPr>
      <w:rPr/>
    </w:lvl>
    <w:lvl w:ilvl="1">
      <w:start w:val="1"/>
      <w:numFmt w:val="upperRoman"/>
      <w:lvlText w:val="%2."/>
      <w:lvlJc w:val="start"/>
      <w:pPr>
        <w:tabs>
          <w:tab w:val="num" w:pos="1800"/>
        </w:tabs>
        <w:ind w:start="1800" w:hanging="720"/>
      </w:pPr>
      <w:rPr>
        <w:sz w:val="24"/>
        <w:i w:val="false"/>
        <w:b/>
        <w:rFonts w:ascii="Times" w:hAnsi="Times" w:cs="Times"/>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0">
    <w:lvl w:ilvl="0">
      <w:start w:val="2"/>
      <w:numFmt w:val="lowerLetter"/>
      <w:lvlText w:val="(%1)"/>
      <w:lvlJc w:val="start"/>
      <w:pPr>
        <w:tabs>
          <w:tab w:val="num" w:pos="1080"/>
        </w:tabs>
        <w:ind w:start="1080" w:hanging="360"/>
      </w:pPr>
      <w:rPr/>
    </w:lvl>
  </w:abstractNum>
  <w:abstractNum w:abstractNumId="11">
    <w:lvl w:ilvl="0">
      <w:start w:val="1"/>
      <w:numFmt w:val="upperRoman"/>
      <w:lvlText w:val="%1."/>
      <w:lvlJc w:val="start"/>
      <w:pPr>
        <w:tabs>
          <w:tab w:val="num" w:pos="72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numFmt w:val="upperLetter"/>
      <w:lvlText w:val="%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decimal"/>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Letter"/>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2">
    <w:lvl w:ilvl="0">
      <w:start w:val="1"/>
      <w:numFmt w:val="lowerLetter"/>
      <w:lvlText w:val="(%1)"/>
      <w:lvlJc w:val="start"/>
      <w:pPr>
        <w:tabs>
          <w:tab w:val="num" w:pos="2160"/>
        </w:tabs>
        <w:ind w:start="2160" w:hanging="1440"/>
      </w:pPr>
      <w:rPr/>
    </w:lvl>
  </w:abstractNum>
  <w:abstractNum w:abstractNumId="13">
    <w:lvl w:ilvl="0">
      <w:start w:val="1"/>
      <w:numFmt w:val="decimal"/>
      <w:lvlText w:val="%1."/>
      <w:lvlJc w:val="start"/>
      <w:pPr>
        <w:tabs>
          <w:tab w:val="num" w:pos="360"/>
        </w:tabs>
        <w:ind w:start="360" w:hanging="360"/>
      </w:pPr>
    </w:lvl>
    <w:lvl w:ilvl="1">
      <w:start w:val="1"/>
      <w:numFmt w:val="decimal"/>
      <w:lvlText w:val="%1.%2."/>
      <w:lvlJc w:val="start"/>
      <w:pPr>
        <w:tabs>
          <w:tab w:val="num" w:pos="1080"/>
        </w:tabs>
        <w:ind w:start="792" w:hanging="432"/>
      </w:pPr>
    </w:lvl>
    <w:lvl w:ilvl="2">
      <w:start w:val="1"/>
      <w:numFmt w:val="decimal"/>
      <w:lvlText w:val="%1.%2.%3."/>
      <w:lvlJc w:val="start"/>
      <w:pPr>
        <w:tabs>
          <w:tab w:val="num" w:pos="1800"/>
        </w:tabs>
        <w:ind w:start="1224" w:hanging="504"/>
      </w:pPr>
    </w:lvl>
    <w:lvl w:ilvl="3">
      <w:start w:val="1"/>
      <w:numFmt w:val="decimal"/>
      <w:lvlText w:val="%1.%2.%3.%4."/>
      <w:lvlJc w:val="start"/>
      <w:pPr>
        <w:tabs>
          <w:tab w:val="num" w:pos="2160"/>
        </w:tabs>
        <w:ind w:start="1728" w:hanging="648"/>
      </w:pPr>
    </w:lvl>
    <w:lvl w:ilvl="4">
      <w:start w:val="1"/>
      <w:numFmt w:val="decimal"/>
      <w:lvlText w:val="%1.%2.%3.%4.%5."/>
      <w:lvlJc w:val="start"/>
      <w:pPr>
        <w:tabs>
          <w:tab w:val="num" w:pos="2880"/>
        </w:tabs>
        <w:ind w:start="2232" w:hanging="792"/>
      </w:pPr>
    </w:lvl>
    <w:lvl w:ilvl="5">
      <w:start w:val="1"/>
      <w:numFmt w:val="decimal"/>
      <w:lvlText w:val="%1.%2.%3.%4.%5.%6."/>
      <w:lvlJc w:val="start"/>
      <w:pPr>
        <w:tabs>
          <w:tab w:val="num" w:pos="3600"/>
        </w:tabs>
        <w:ind w:start="2736" w:hanging="936"/>
      </w:pPr>
    </w:lvl>
    <w:lvl w:ilvl="6">
      <w:start w:val="1"/>
      <w:numFmt w:val="decimal"/>
      <w:lvlText w:val="%1.%2.%3.%4.%5.%6.%7."/>
      <w:lvlJc w:val="start"/>
      <w:pPr>
        <w:tabs>
          <w:tab w:val="num" w:pos="3960"/>
        </w:tabs>
        <w:ind w:start="3240" w:hanging="1080"/>
      </w:pPr>
    </w:lvl>
    <w:lvl w:ilvl="7">
      <w:start w:val="1"/>
      <w:numFmt w:val="decimal"/>
      <w:lvlText w:val="%1.%2.%3.%4.%5.%6.%7.%8."/>
      <w:lvlJc w:val="start"/>
      <w:pPr>
        <w:tabs>
          <w:tab w:val="num" w:pos="4680"/>
        </w:tabs>
        <w:ind w:start="3744" w:hanging="1224"/>
      </w:pPr>
    </w:lvl>
    <w:lvl w:ilvl="8">
      <w:start w:val="1"/>
      <w:numFmt w:val="decimal"/>
      <w:lvlText w:val="%1.%2.%3.%4.%5.%6.%7.%8.%9."/>
      <w:lvlJc w:val="start"/>
      <w:pPr>
        <w:tabs>
          <w:tab w:val="num" w:pos="5400"/>
        </w:tabs>
        <w:ind w:start="4320" w:hanging="1440"/>
      </w:pPr>
    </w:lvl>
  </w:abstractNum>
  <w:abstractNum w:abstractNumId="14">
    <w:lvl w:ilvl="0">
      <w:start w:val="1"/>
      <w:numFmt w:val="lowerLetter"/>
      <w:lvlText w:val="(%1)"/>
      <w:lvlJc w:val="start"/>
      <w:pPr>
        <w:tabs>
          <w:tab w:val="num" w:pos="1080"/>
        </w:tabs>
        <w:ind w:start="1080" w:hanging="360"/>
      </w:pPr>
      <w:rPr/>
    </w:lvl>
  </w:abstractNum>
  <w:abstractNum w:abstractNumId="15">
    <w:lvl w:ilvl="0">
      <w:start w:val="2"/>
      <w:numFmt w:val="lowerLetter"/>
      <w:lvlText w:val="(%1)"/>
      <w:lvlJc w:val="start"/>
      <w:pPr>
        <w:tabs>
          <w:tab w:val="num" w:pos="1800"/>
        </w:tabs>
        <w:ind w:start="1800" w:hanging="360"/>
      </w:pPr>
      <w:rPr/>
    </w:lvl>
  </w:abstractNum>
  <w:abstractNum w:abstractNumId="16">
    <w:lvl w:ilvl="0">
      <w:start w:val="1"/>
      <w:numFmt w:val="decimal"/>
      <w:lvlText w:val="%1)"/>
      <w:lvlJc w:val="start"/>
      <w:pPr>
        <w:tabs>
          <w:tab w:val="num" w:pos="1080"/>
        </w:tabs>
        <w:ind w:start="1080" w:hanging="360"/>
      </w:pPr>
    </w:lvl>
  </w:abstractNum>
  <w:abstractNum w:abstractNumId="17">
    <w:lvl w:ilvl="0">
      <w:start w:val="1"/>
      <w:numFmt w:val="upperLetter"/>
      <w:lvlText w:val="(%1)"/>
      <w:lvlJc w:val="start"/>
      <w:pPr>
        <w:tabs>
          <w:tab w:val="num" w:pos="3270"/>
        </w:tabs>
        <w:ind w:start="3270" w:hanging="390"/>
      </w:pPr>
      <w:rPr/>
    </w:lvl>
  </w:abstractNum>
  <w:abstractNum w:abstractNumId="18">
    <w:lvl w:ilvl="0">
      <w:start w:val="1"/>
      <w:numFmt w:val="decimal"/>
      <w:lvlText w:val="%1)"/>
      <w:lvlJc w:val="start"/>
      <w:pPr>
        <w:tabs>
          <w:tab w:val="num" w:pos="1350"/>
        </w:tabs>
        <w:ind w:start="1350" w:hanging="360"/>
      </w:pPr>
      <w:rPr/>
    </w:lvl>
  </w:abstractNum>
  <w:abstractNum w:abstractNumId="19">
    <w:lvl w:ilvl="0">
      <w:start w:val="2"/>
      <w:numFmt w:val="decimal"/>
      <w:lvlText w:val="%1"/>
      <w:lvlJc w:val="start"/>
      <w:pPr>
        <w:tabs>
          <w:tab w:val="num" w:pos="360"/>
        </w:tabs>
        <w:ind w:start="360" w:hanging="360"/>
      </w:pPr>
      <w:rPr/>
    </w:lvl>
    <w:lvl w:ilvl="1">
      <w:start w:val="3"/>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20">
    <w:lvl w:ilvl="0">
      <w:start w:val="1"/>
      <w:numFmt w:val="upperLetter"/>
      <w:lvlText w:val="(%1)"/>
      <w:lvlJc w:val="start"/>
      <w:pPr>
        <w:tabs>
          <w:tab w:val="num" w:pos="2880"/>
        </w:tabs>
        <w:ind w:start="2880" w:hanging="720"/>
      </w:pPr>
      <w:rPr/>
    </w:lvl>
  </w:abstractNum>
  <w:abstractNum w:abstractNumId="21">
    <w:lvl w:ilvl="0">
      <w:start w:val="1"/>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20" w:after="12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numPr>
        <w:ilvl w:val="0"/>
        <w:numId w:val="1"/>
      </w:numPr>
      <w:tabs>
        <w:tab w:val="clear" w:pos="720"/>
        <w:tab w:val="left" w:pos="360" w:leader="none"/>
      </w:tabs>
      <w:spacing w:before="0" w:after="240"/>
      <w:outlineLvl w:val="0"/>
    </w:pPr>
    <w:rPr>
      <w:kern w:val="2"/>
    </w:rPr>
  </w:style>
  <w:style w:type="paragraph" w:styleId="Heading2">
    <w:name w:val="heading 2"/>
    <w:basedOn w:val="Normal"/>
    <w:next w:val="BodyText"/>
    <w:qFormat/>
    <w:pPr>
      <w:numPr>
        <w:ilvl w:val="1"/>
        <w:numId w:val="1"/>
      </w:numPr>
      <w:tabs>
        <w:tab w:val="clear" w:pos="720"/>
        <w:tab w:val="left" w:pos="1800" w:leader="none"/>
      </w:tabs>
      <w:spacing w:before="0" w:after="240"/>
      <w:ind w:firstLine="1440" w:start="0" w:end="0"/>
      <w:outlineLvl w:val="1"/>
    </w:pPr>
    <w:rPr/>
  </w:style>
  <w:style w:type="paragraph" w:styleId="Heading3">
    <w:name w:val="heading 3"/>
    <w:basedOn w:val="Normal"/>
    <w:next w:val="Normal"/>
    <w:qFormat/>
    <w:pPr>
      <w:numPr>
        <w:ilvl w:val="2"/>
        <w:numId w:val="1"/>
      </w:numPr>
      <w:tabs>
        <w:tab w:val="clear" w:pos="720"/>
        <w:tab w:val="left" w:pos="2520" w:leader="none"/>
      </w:tabs>
      <w:spacing w:before="0" w:after="240"/>
      <w:ind w:firstLine="720" w:start="1440" w:end="0"/>
      <w:outlineLvl w:val="2"/>
    </w:pPr>
    <w:rPr/>
  </w:style>
  <w:style w:type="paragraph" w:styleId="Heading4">
    <w:name w:val="heading 4"/>
    <w:basedOn w:val="Normal"/>
    <w:next w:val="Normal"/>
    <w:qFormat/>
    <w:pPr>
      <w:numPr>
        <w:ilvl w:val="3"/>
        <w:numId w:val="1"/>
      </w:numPr>
      <w:tabs>
        <w:tab w:val="clear" w:pos="720"/>
        <w:tab w:val="left" w:pos="3240" w:leader="none"/>
      </w:tabs>
      <w:spacing w:before="0" w:after="240"/>
      <w:ind w:firstLine="720" w:start="2160" w:end="0"/>
      <w:outlineLvl w:val="3"/>
    </w:pPr>
    <w:rPr/>
  </w:style>
  <w:style w:type="paragraph" w:styleId="Heading5">
    <w:name w:val="heading 5"/>
    <w:basedOn w:val="Normal"/>
    <w:next w:val="Normal"/>
    <w:qFormat/>
    <w:pPr>
      <w:numPr>
        <w:ilvl w:val="4"/>
        <w:numId w:val="1"/>
      </w:numPr>
      <w:tabs>
        <w:tab w:val="clear" w:pos="720"/>
        <w:tab w:val="left" w:pos="3600" w:leader="none"/>
      </w:tabs>
      <w:ind w:hanging="720" w:start="3600" w:end="0"/>
      <w:outlineLvl w:val="4"/>
    </w:pPr>
    <w:rPr/>
  </w:style>
  <w:style w:type="paragraph" w:styleId="Heading6">
    <w:name w:val="heading 6"/>
    <w:basedOn w:val="Normal"/>
    <w:next w:val="Normal"/>
    <w:qFormat/>
    <w:pPr>
      <w:numPr>
        <w:ilvl w:val="5"/>
        <w:numId w:val="1"/>
      </w:numPr>
      <w:tabs>
        <w:tab w:val="clear" w:pos="720"/>
        <w:tab w:val="left" w:pos="3960" w:leader="none"/>
      </w:tabs>
      <w:ind w:hanging="0" w:start="3600" w:end="0"/>
      <w:outlineLvl w:val="5"/>
    </w:pPr>
    <w:rPr/>
  </w:style>
  <w:style w:type="paragraph" w:styleId="Heading7">
    <w:name w:val="heading 7"/>
    <w:basedOn w:val="Normal"/>
    <w:next w:val="Normal"/>
    <w:qFormat/>
    <w:pPr>
      <w:numPr>
        <w:ilvl w:val="6"/>
        <w:numId w:val="1"/>
      </w:numPr>
      <w:tabs>
        <w:tab w:val="clear" w:pos="720"/>
        <w:tab w:val="left" w:pos="4680" w:leader="none"/>
      </w:tabs>
      <w:ind w:hanging="0" w:start="4320" w:end="0"/>
      <w:outlineLvl w:val="6"/>
    </w:pPr>
    <w:rPr/>
  </w:style>
  <w:style w:type="paragraph" w:styleId="Heading8">
    <w:name w:val="heading 8"/>
    <w:basedOn w:val="Normal"/>
    <w:next w:val="Normal"/>
    <w:qFormat/>
    <w:pPr>
      <w:numPr>
        <w:ilvl w:val="7"/>
        <w:numId w:val="1"/>
      </w:numPr>
      <w:tabs>
        <w:tab w:val="clear" w:pos="720"/>
        <w:tab w:val="left" w:pos="5400" w:leader="none"/>
      </w:tabs>
      <w:ind w:hanging="0" w:start="5040" w:end="0"/>
      <w:outlineLvl w:val="7"/>
    </w:pPr>
    <w:rPr/>
  </w:style>
  <w:style w:type="paragraph" w:styleId="Heading9">
    <w:name w:val="heading 9"/>
    <w:basedOn w:val="Normal"/>
    <w:next w:val="Normal"/>
    <w:qFormat/>
    <w:pPr>
      <w:numPr>
        <w:ilvl w:val="8"/>
        <w:numId w:val="1"/>
      </w:numPr>
      <w:tabs>
        <w:tab w:val="clear" w:pos="720"/>
        <w:tab w:val="left" w:pos="6120" w:leader="none"/>
      </w:tabs>
      <w:ind w:hanging="0" w:start="5760" w:end="0"/>
      <w:outlineLvl w:val="8"/>
    </w:pPr>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5z1">
    <w:name w:val="WW8Num5z1"/>
    <w:qFormat/>
    <w:rPr>
      <w:b w:val="false"/>
      <w:i w:val="fals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style>
  <w:style w:type="character" w:styleId="WW8Num19z0">
    <w:name w:val="WW8Num19z0"/>
    <w:qFormat/>
    <w:rPr>
      <w:b w:val="false"/>
      <w:i w:val="false"/>
    </w:rPr>
  </w:style>
  <w:style w:type="character" w:styleId="WW8Num19z1">
    <w:name w:val="WW8Num19z1"/>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rFonts w:ascii="Times New Roman" w:hAnsi="Times New Roman" w:cs="Times New Roman"/>
      <w:b w:val="false"/>
      <w:i w:val="false"/>
      <w:sz w:val="24"/>
      <w:u w:val="none"/>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rFonts w:ascii="Symbol" w:hAnsi="Symbol" w:cs="Symbol"/>
    </w:rPr>
  </w:style>
  <w:style w:type="character" w:styleId="WW8Num59z0">
    <w:name w:val="WW8Num59z0"/>
    <w:qFormat/>
    <w:rPr/>
  </w:style>
  <w:style w:type="character" w:styleId="WW8Num60z0">
    <w:name w:val="WW8Num60z0"/>
    <w:qFormat/>
    <w:rPr>
      <w:rFonts w:ascii="Symbol" w:hAnsi="Symbol" w:cs="Symbol"/>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rFonts w:ascii="Times New Roman Bold" w:hAnsi="Times New Roman Bold" w:cs="BauerBodoni-Bold;Arial Rounded MT Bold"/>
      <w:b/>
      <w:i w:val="false"/>
      <w:sz w:val="24"/>
    </w:rPr>
  </w:style>
  <w:style w:type="character" w:styleId="WW8Num67z1">
    <w:name w:val="WW8Num67z1"/>
    <w:qFormat/>
    <w:rPr>
      <w:rFonts w:ascii="Times New Roman" w:hAnsi="Times New Roman" w:cs="Times New Roman"/>
      <w:b w:val="false"/>
      <w:i w:val="false"/>
      <w:sz w:val="24"/>
    </w:rPr>
  </w:style>
  <w:style w:type="character" w:styleId="WW8Num68z0">
    <w:name w:val="WW8Num68z0"/>
    <w:qFormat/>
    <w:rPr/>
  </w:style>
  <w:style w:type="character" w:styleId="WW8Num69z0">
    <w:name w:val="WW8Num69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rFonts w:ascii="Symbol" w:hAnsi="Symbol" w:cs="Symbol"/>
    </w:rPr>
  </w:style>
  <w:style w:type="character" w:styleId="WW8Num75z0">
    <w:name w:val="WW8Num75z0"/>
    <w:qFormat/>
    <w:rPr/>
  </w:style>
  <w:style w:type="character" w:styleId="WW8Num76z0">
    <w:name w:val="WW8Num76z0"/>
    <w:qFormat/>
    <w:rPr>
      <w:b w:val="false"/>
      <w:i w:val="false"/>
    </w:rPr>
  </w:style>
  <w:style w:type="character" w:styleId="WW8Num76z2">
    <w:name w:val="WW8Num76z2"/>
    <w:qFormat/>
    <w:rPr/>
  </w:style>
  <w:style w:type="character" w:styleId="WW8Num77z0">
    <w:name w:val="WW8Num77z0"/>
    <w:qFormat/>
    <w:rPr/>
  </w:style>
  <w:style w:type="character" w:styleId="WW8Num78z0">
    <w:name w:val="WW8Num78z0"/>
    <w:qFormat/>
    <w:rPr>
      <w:b w:val="false"/>
      <w:i w:val="false"/>
    </w:rPr>
  </w:style>
  <w:style w:type="character" w:styleId="WW8Num78z2">
    <w:name w:val="WW8Num78z2"/>
    <w:qFormat/>
    <w:rPr/>
  </w:style>
  <w:style w:type="character" w:styleId="WW8Num79z0">
    <w:name w:val="WW8Num79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3z1">
    <w:name w:val="WW8Num83z1"/>
    <w:qFormat/>
    <w:rPr>
      <w:b w:val="false"/>
      <w:i w:val="false"/>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6z1">
    <w:name w:val="WW8Num86z1"/>
    <w:qFormat/>
    <w:rPr>
      <w:rFonts w:ascii="Times" w:hAnsi="Times" w:cs="Times"/>
      <w:b/>
      <w:i w:val="false"/>
      <w:sz w:val="24"/>
    </w:rPr>
  </w:style>
  <w:style w:type="character" w:styleId="WW8Num88z0">
    <w:name w:val="WW8Num88z0"/>
    <w:qFormat/>
    <w:rPr/>
  </w:style>
  <w:style w:type="character" w:styleId="WW8Num89z0">
    <w:name w:val="WW8Num89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b w:val="false"/>
      <w:i w:val="false"/>
    </w:rPr>
  </w:style>
  <w:style w:type="character" w:styleId="WW8Num95z2">
    <w:name w:val="WW8Num95z2"/>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2z0">
    <w:name w:val="WW8Num112z0"/>
    <w:qFormat/>
    <w:rPr>
      <w:b w:val="false"/>
      <w:i w:val="false"/>
    </w:rPr>
  </w:style>
  <w:style w:type="character" w:styleId="WW8Num112z1">
    <w:name w:val="WW8Num112z1"/>
    <w:qFormat/>
    <w:rPr/>
  </w:style>
  <w:style w:type="character" w:styleId="WW8Num113z0">
    <w:name w:val="WW8Num113z0"/>
    <w:qFormat/>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7z0">
    <w:name w:val="WW8Num117z0"/>
    <w:qFormat/>
    <w:rPr>
      <w:rFonts w:ascii="Times New Roman" w:hAnsi="Times New Roman" w:cs="Times New Roman"/>
      <w:b w:val="false"/>
      <w:i w:val="false"/>
      <w:sz w:val="24"/>
    </w:rPr>
  </w:style>
  <w:style w:type="character" w:styleId="WW8Num117z1">
    <w:name w:val="WW8Num117z1"/>
    <w:qFormat/>
    <w:rPr/>
  </w:style>
  <w:style w:type="character" w:styleId="WW8Num118z0">
    <w:name w:val="WW8Num118z0"/>
    <w:qFormat/>
    <w:rPr>
      <w:b w:val="false"/>
      <w:i w:val="false"/>
    </w:rPr>
  </w:style>
  <w:style w:type="character" w:styleId="WW8Num118z2">
    <w:name w:val="WW8Num118z2"/>
    <w:qFormat/>
    <w:rPr/>
  </w:style>
  <w:style w:type="character" w:styleId="WW8Num119z0">
    <w:name w:val="WW8Num119z0"/>
    <w:qFormat/>
    <w:rPr>
      <w:b w:val="false"/>
      <w:i w:val="false"/>
    </w:rPr>
  </w:style>
  <w:style w:type="character" w:styleId="WW8Num120z0">
    <w:name w:val="WW8Num120z0"/>
    <w:qFormat/>
    <w:rPr/>
  </w:style>
  <w:style w:type="character" w:styleId="WW8Num121z0">
    <w:name w:val="WW8Num121z0"/>
    <w:qFormat/>
    <w:rPr>
      <w:rFonts w:ascii="Symbol" w:hAnsi="Symbol" w:cs="Symbol"/>
    </w:rPr>
  </w:style>
  <w:style w:type="character" w:styleId="WW8Num122z0">
    <w:name w:val="WW8Num122z0"/>
    <w:qFormat/>
    <w:rPr/>
  </w:style>
  <w:style w:type="character" w:styleId="WW8Num123z0">
    <w:name w:val="WW8Num123z0"/>
    <w:qFormat/>
    <w:rPr/>
  </w:style>
  <w:style w:type="character" w:styleId="WW8Num124z0">
    <w:name w:val="WW8Num124z0"/>
    <w:qFormat/>
    <w:rPr/>
  </w:style>
  <w:style w:type="character" w:styleId="WW8Num126z0">
    <w:name w:val="WW8Num126z0"/>
    <w:qFormat/>
    <w:rPr/>
  </w:style>
  <w:style w:type="character" w:styleId="WW8Num126z1">
    <w:name w:val="WW8Num126z1"/>
    <w:qFormat/>
    <w:rPr>
      <w:b w:val="false"/>
      <w:i w:val="false"/>
    </w:rPr>
  </w:style>
  <w:style w:type="character" w:styleId="WW8Num127z0">
    <w:name w:val="WW8Num127z0"/>
    <w:qFormat/>
    <w:rPr>
      <w:rFonts w:ascii="Symbol" w:hAnsi="Symbol" w:cs="Symbol"/>
    </w:rPr>
  </w:style>
  <w:style w:type="character" w:styleId="WW8Num128z0">
    <w:name w:val="WW8Num128z0"/>
    <w:qFormat/>
    <w:rPr/>
  </w:style>
  <w:style w:type="character" w:styleId="WW8Num129z0">
    <w:name w:val="WW8Num129z0"/>
    <w:qFormat/>
    <w:rPr>
      <w:b w:val="false"/>
      <w:i w:val="false"/>
    </w:rPr>
  </w:style>
  <w:style w:type="character" w:styleId="WW8Num130z0">
    <w:name w:val="WW8Num130z0"/>
    <w:qFormat/>
    <w:rPr/>
  </w:style>
  <w:style w:type="character" w:styleId="WW8Num131z0">
    <w:name w:val="WW8Num131z0"/>
    <w:qFormat/>
    <w:rPr/>
  </w:style>
  <w:style w:type="character" w:styleId="WW8Num132z0">
    <w:name w:val="WW8Num132z0"/>
    <w:qFormat/>
    <w:rPr>
      <w:rFonts w:ascii="Symbol" w:hAnsi="Symbol" w:cs="Symbol"/>
    </w:rPr>
  </w:style>
  <w:style w:type="character" w:styleId="WW8Num133z0">
    <w:name w:val="WW8Num133z0"/>
    <w:qFormat/>
    <w:rPr/>
  </w:style>
  <w:style w:type="character" w:styleId="WW8Num134z0">
    <w:name w:val="WW8Num134z0"/>
    <w:qFormat/>
    <w:rPr>
      <w:b w:val="false"/>
      <w:i w:val="false"/>
      <w:caps/>
      <w:strike w:val="false"/>
      <w:dstrike w:val="false"/>
      <w:outline w:val="false"/>
      <w:shadow w:val="false"/>
      <w:vanish w:val="false"/>
      <w:color w:val="auto"/>
      <w:position w:val="0"/>
      <w:sz w:val="24"/>
      <w:u w:val="none"/>
      <w:vertAlign w:val="baseline"/>
    </w:rPr>
  </w:style>
  <w:style w:type="character" w:styleId="WW8Num134z1">
    <w:name w:val="WW8Num134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35z0">
    <w:name w:val="WW8Num135z0"/>
    <w:qFormat/>
    <w:rPr/>
  </w:style>
  <w:style w:type="character" w:styleId="WW8Num136z0">
    <w:name w:val="WW8Num136z0"/>
    <w:qFormat/>
    <w:rPr/>
  </w:style>
  <w:style w:type="character" w:styleId="WW8Num137z0">
    <w:name w:val="WW8Num137z0"/>
    <w:qFormat/>
    <w:rPr/>
  </w:style>
  <w:style w:type="character" w:styleId="WW8Num137z1">
    <w:name w:val="WW8Num137z1"/>
    <w:qFormat/>
    <w:rPr>
      <w:b w:val="false"/>
      <w:i w:val="false"/>
    </w:rPr>
  </w:style>
  <w:style w:type="character" w:styleId="WW8Num138z0">
    <w:name w:val="WW8Num138z0"/>
    <w:qFormat/>
    <w:rPr/>
  </w:style>
  <w:style w:type="character" w:styleId="WW8Num138z1">
    <w:name w:val="WW8Num138z1"/>
    <w:qFormat/>
    <w:rPr>
      <w:b w:val="false"/>
      <w:i w:val="false"/>
    </w:rPr>
  </w:style>
  <w:style w:type="character" w:styleId="WW8Num139z0">
    <w:name w:val="WW8Num139z0"/>
    <w:qFormat/>
    <w:rPr/>
  </w:style>
  <w:style w:type="character" w:styleId="WW8Num141z0">
    <w:name w:val="WW8Num141z0"/>
    <w:qFormat/>
    <w:rPr/>
  </w:style>
  <w:style w:type="character" w:styleId="WW8Num142z0">
    <w:name w:val="WW8Num142z0"/>
    <w:qFormat/>
    <w:rPr>
      <w:rFonts w:ascii="Symbol" w:hAnsi="Symbol" w:cs="Symbol"/>
    </w:rPr>
  </w:style>
  <w:style w:type="character" w:styleId="WW8Num143z0">
    <w:name w:val="WW8Num143z0"/>
    <w:qFormat/>
    <w:rPr/>
  </w:style>
  <w:style w:type="character" w:styleId="WW8Num144z0">
    <w:name w:val="WW8Num144z0"/>
    <w:qFormat/>
    <w:rPr/>
  </w:style>
  <w:style w:type="character" w:styleId="WW8Num146z0">
    <w:name w:val="WW8Num146z0"/>
    <w:qFormat/>
    <w:rPr>
      <w:b w:val="false"/>
    </w:rPr>
  </w:style>
  <w:style w:type="character" w:styleId="WW8Num148z0">
    <w:name w:val="WW8Num148z0"/>
    <w:qFormat/>
    <w:rPr/>
  </w:style>
  <w:style w:type="character" w:styleId="WW8Num149z0">
    <w:name w:val="WW8Num149z0"/>
    <w:qFormat/>
    <w:rPr/>
  </w:style>
  <w:style w:type="character" w:styleId="WW8Num151z0">
    <w:name w:val="WW8Num151z0"/>
    <w:qFormat/>
    <w:rPr/>
  </w:style>
  <w:style w:type="character" w:styleId="WW8Num152z0">
    <w:name w:val="WW8Num152z0"/>
    <w:qFormat/>
    <w:rPr/>
  </w:style>
  <w:style w:type="character" w:styleId="WW8Num153z0">
    <w:name w:val="WW8Num153z0"/>
    <w:qFormat/>
    <w:rPr/>
  </w:style>
  <w:style w:type="character" w:styleId="WW8Num154z0">
    <w:name w:val="WW8Num154z0"/>
    <w:qFormat/>
    <w:rPr/>
  </w:style>
  <w:style w:type="character" w:styleId="WW8Num155z0">
    <w:name w:val="WW8Num155z0"/>
    <w:qFormat/>
    <w:rPr/>
  </w:style>
  <w:style w:type="character" w:styleId="WW8Num156z0">
    <w:name w:val="WW8Num156z0"/>
    <w:qFormat/>
    <w:rPr/>
  </w:style>
  <w:style w:type="character" w:styleId="WW8Num156z1">
    <w:name w:val="WW8Num156z1"/>
    <w:qFormat/>
    <w:rPr>
      <w:rFonts w:ascii="Times New Roman" w:hAnsi="Times New Roman" w:cs="Times New Roman"/>
      <w:sz w:val="24"/>
    </w:rPr>
  </w:style>
  <w:style w:type="character" w:styleId="WW8Num157z0">
    <w:name w:val="WW8Num157z0"/>
    <w:qFormat/>
    <w:rPr/>
  </w:style>
  <w:style w:type="character" w:styleId="WW8Num157z1">
    <w:name w:val="WW8Num157z1"/>
    <w:qFormat/>
    <w:rPr>
      <w:b w:val="false"/>
      <w:i w:val="false"/>
    </w:rPr>
  </w:style>
  <w:style w:type="character" w:styleId="WW8Num158z0">
    <w:name w:val="WW8Num158z0"/>
    <w:qFormat/>
    <w:rPr>
      <w:rFonts w:ascii="Times New Roman" w:hAnsi="Times New Roman" w:cs="Times New Roman"/>
      <w:b w:val="false"/>
      <w:i w:val="false"/>
      <w:sz w:val="24"/>
    </w:rPr>
  </w:style>
  <w:style w:type="character" w:styleId="WW8Num158z1">
    <w:name w:val="WW8Num158z1"/>
    <w:qFormat/>
    <w:rPr/>
  </w:style>
  <w:style w:type="character" w:styleId="WW8Num159z0">
    <w:name w:val="WW8Num159z0"/>
    <w:qFormat/>
    <w:rPr/>
  </w:style>
  <w:style w:type="character" w:styleId="WW8Num160z0">
    <w:name w:val="WW8Num160z0"/>
    <w:qFormat/>
    <w:rPr>
      <w:rFonts w:ascii="Symbol" w:hAnsi="Symbol" w:cs="Symbol"/>
    </w:rPr>
  </w:style>
  <w:style w:type="character" w:styleId="WW8Num161z0">
    <w:name w:val="WW8Num161z0"/>
    <w:qFormat/>
    <w:rPr/>
  </w:style>
  <w:style w:type="character" w:styleId="WW8Num161z1">
    <w:name w:val="WW8Num161z1"/>
    <w:qFormat/>
    <w:rPr>
      <w:b w:val="false"/>
      <w:i w:val="false"/>
    </w:rPr>
  </w:style>
  <w:style w:type="character" w:styleId="WW8Num162z0">
    <w:name w:val="WW8Num162z0"/>
    <w:qFormat/>
    <w:rPr>
      <w:rFonts w:ascii="Times New Roman" w:hAnsi="Times New Roman" w:cs="Times New Roman"/>
      <w:b w:val="false"/>
      <w:i w:val="false"/>
      <w:sz w:val="24"/>
      <w:u w:val="none"/>
    </w:rPr>
  </w:style>
  <w:style w:type="character" w:styleId="WW8Num164z0">
    <w:name w:val="WW8Num164z0"/>
    <w:qFormat/>
    <w:rPr/>
  </w:style>
  <w:style w:type="character" w:styleId="WW8Num165z0">
    <w:name w:val="WW8Num165z0"/>
    <w:qFormat/>
    <w:rPr/>
  </w:style>
  <w:style w:type="character" w:styleId="WW8Num166z0">
    <w:name w:val="WW8Num166z0"/>
    <w:qFormat/>
    <w:rPr>
      <w:rFonts w:ascii="Symbol" w:hAnsi="Symbol" w:cs="Symbol"/>
    </w:rPr>
  </w:style>
  <w:style w:type="character" w:styleId="WW8Num168z0">
    <w:name w:val="WW8Num168z0"/>
    <w:qFormat/>
    <w:rPr/>
  </w:style>
  <w:style w:type="character" w:styleId="WW8Num169z0">
    <w:name w:val="WW8Num169z0"/>
    <w:qFormat/>
    <w:rPr>
      <w:rFonts w:ascii="Times New Roman" w:hAnsi="Times New Roman" w:cs="Times New Roman"/>
      <w:b w:val="false"/>
      <w:i w:val="false"/>
      <w:sz w:val="24"/>
      <w:u w:val="none"/>
    </w:rPr>
  </w:style>
  <w:style w:type="character" w:styleId="WW8Num170z0">
    <w:name w:val="WW8Num170z0"/>
    <w:qFormat/>
    <w:rPr/>
  </w:style>
  <w:style w:type="character" w:styleId="WW8Num172z0">
    <w:name w:val="WW8Num172z0"/>
    <w:qFormat/>
    <w:rPr/>
  </w:style>
  <w:style w:type="character" w:styleId="WW8Num173z0">
    <w:name w:val="WW8Num173z0"/>
    <w:qFormat/>
    <w:rPr/>
  </w:style>
  <w:style w:type="character" w:styleId="WW8Num175z0">
    <w:name w:val="WW8Num175z0"/>
    <w:qFormat/>
    <w:rPr/>
  </w:style>
  <w:style w:type="character" w:styleId="WW8Num176z0">
    <w:name w:val="WW8Num176z0"/>
    <w:qFormat/>
    <w:rPr/>
  </w:style>
  <w:style w:type="character" w:styleId="WW8Num177z0">
    <w:name w:val="WW8Num177z0"/>
    <w:qFormat/>
    <w:rPr>
      <w:rFonts w:ascii="Symbol" w:hAnsi="Symbol" w:cs="Symbol"/>
    </w:rPr>
  </w:style>
  <w:style w:type="character" w:styleId="WW8Num179z0">
    <w:name w:val="WW8Num179z0"/>
    <w:qFormat/>
    <w:rPr/>
  </w:style>
  <w:style w:type="character" w:styleId="WW8Num180z0">
    <w:name w:val="WW8Num180z0"/>
    <w:qFormat/>
    <w:rPr/>
  </w:style>
  <w:style w:type="character" w:styleId="WW8Num181z0">
    <w:name w:val="WW8Num181z0"/>
    <w:qFormat/>
    <w:rPr/>
  </w:style>
  <w:style w:type="character" w:styleId="WW8Num182z0">
    <w:name w:val="WW8Num182z0"/>
    <w:qFormat/>
    <w:rPr>
      <w:rFonts w:ascii="Symbol" w:hAnsi="Symbol" w:cs="Symbol"/>
    </w:rPr>
  </w:style>
  <w:style w:type="character" w:styleId="WW8Num183z0">
    <w:name w:val="WW8Num183z0"/>
    <w:qFormat/>
    <w:rPr/>
  </w:style>
  <w:style w:type="character" w:styleId="WW8Num183z1">
    <w:name w:val="WW8Num183z1"/>
    <w:qFormat/>
    <w:rPr>
      <w:b w:val="false"/>
      <w:i w:val="false"/>
    </w:rPr>
  </w:style>
  <w:style w:type="character" w:styleId="WW8Num184z0">
    <w:name w:val="WW8Num184z0"/>
    <w:qFormat/>
    <w:rPr>
      <w:rFonts w:ascii="Times New Roman" w:hAnsi="Times New Roman" w:cs="Times New Roman"/>
      <w:b w:val="false"/>
      <w:i w:val="false"/>
      <w:sz w:val="24"/>
      <w:u w:val="none"/>
    </w:rPr>
  </w:style>
  <w:style w:type="character" w:styleId="WW8Num185z0">
    <w:name w:val="WW8Num185z0"/>
    <w:qFormat/>
    <w:rPr/>
  </w:style>
  <w:style w:type="character" w:styleId="WW8Num186z0">
    <w:name w:val="WW8Num186z0"/>
    <w:qFormat/>
    <w:rPr/>
  </w:style>
  <w:style w:type="character" w:styleId="WW8Num187z0">
    <w:name w:val="WW8Num187z0"/>
    <w:qFormat/>
    <w:rPr/>
  </w:style>
  <w:style w:type="character" w:styleId="WW8Num188z0">
    <w:name w:val="WW8Num188z0"/>
    <w:qFormat/>
    <w:rPr/>
  </w:style>
  <w:style w:type="character" w:styleId="WW8Num189z0">
    <w:name w:val="WW8Num189z0"/>
    <w:qFormat/>
    <w:rPr/>
  </w:style>
  <w:style w:type="character" w:styleId="WW8Num190z0">
    <w:name w:val="WW8Num190z0"/>
    <w:qFormat/>
    <w:rPr/>
  </w:style>
  <w:style w:type="character" w:styleId="WW8Num191z0">
    <w:name w:val="WW8Num191z0"/>
    <w:qFormat/>
    <w:rPr/>
  </w:style>
  <w:style w:type="character" w:styleId="WW8Num192z0">
    <w:name w:val="WW8Num192z0"/>
    <w:qFormat/>
    <w:rPr>
      <w:rFonts w:ascii="Times New Roman" w:hAnsi="Times New Roman" w:cs="Times New Roman"/>
      <w:b/>
      <w:i w:val="false"/>
      <w:caps/>
      <w:sz w:val="24"/>
    </w:rPr>
  </w:style>
  <w:style w:type="character" w:styleId="WW8Num192z1">
    <w:name w:val="WW8Num192z1"/>
    <w:qFormat/>
    <w:rPr>
      <w:rFonts w:ascii="Times New Roman" w:hAnsi="Times New Roman" w:cs="Times New Roman"/>
      <w:b w:val="false"/>
      <w:i w:val="false"/>
      <w:sz w:val="24"/>
      <w:u w:val="none"/>
    </w:rPr>
  </w:style>
  <w:style w:type="character" w:styleId="WW8Num192z2">
    <w:name w:val="WW8Num192z2"/>
    <w:qFormat/>
    <w:rPr>
      <w:rFonts w:ascii="Times New Roman" w:hAnsi="Times New Roman" w:cs="Times New Roman"/>
      <w:b w:val="false"/>
      <w:i w:val="false"/>
      <w:sz w:val="24"/>
    </w:rPr>
  </w:style>
  <w:style w:type="character" w:styleId="WW8Num192z5">
    <w:name w:val="WW8Num192z5"/>
    <w:qFormat/>
    <w:rPr>
      <w:rFonts w:ascii="Times New Roman" w:hAnsi="Times New Roman" w:cs="Times New Roman"/>
      <w:b/>
      <w:i w:val="false"/>
      <w:sz w:val="24"/>
      <w:u w:val="none"/>
    </w:rPr>
  </w:style>
  <w:style w:type="character" w:styleId="WW8Num193z0">
    <w:name w:val="WW8Num193z0"/>
    <w:qFormat/>
    <w:rPr/>
  </w:style>
  <w:style w:type="character" w:styleId="WW8Num194z0">
    <w:name w:val="WW8Num194z0"/>
    <w:qFormat/>
    <w:rPr>
      <w:i w:val="false"/>
    </w:rPr>
  </w:style>
  <w:style w:type="character" w:styleId="WW8Num195z0">
    <w:name w:val="WW8Num195z0"/>
    <w:qFormat/>
    <w:rPr/>
  </w:style>
  <w:style w:type="character" w:styleId="WW8Num196z0">
    <w:name w:val="WW8Num196z0"/>
    <w:qFormat/>
    <w:rPr/>
  </w:style>
  <w:style w:type="character" w:styleId="WW8Num197z0">
    <w:name w:val="WW8Num197z0"/>
    <w:qFormat/>
    <w:rPr/>
  </w:style>
  <w:style w:type="character" w:styleId="WW8Num200z0">
    <w:name w:val="WW8Num200z0"/>
    <w:qFormat/>
    <w:rPr/>
  </w:style>
  <w:style w:type="character" w:styleId="WW8Num201z0">
    <w:name w:val="WW8Num201z0"/>
    <w:qFormat/>
    <w:rPr/>
  </w:style>
  <w:style w:type="character" w:styleId="WW8Num202z0">
    <w:name w:val="WW8Num202z0"/>
    <w:qFormat/>
    <w:rPr/>
  </w:style>
  <w:style w:type="character" w:styleId="WW8Num203z0">
    <w:name w:val="WW8Num203z0"/>
    <w:qFormat/>
    <w:rPr/>
  </w:style>
  <w:style w:type="character" w:styleId="WW8Num204z0">
    <w:name w:val="WW8Num204z0"/>
    <w:qFormat/>
    <w:rPr/>
  </w:style>
  <w:style w:type="character" w:styleId="WW8Num205z0">
    <w:name w:val="WW8Num205z0"/>
    <w:qFormat/>
    <w:rPr/>
  </w:style>
  <w:style w:type="character" w:styleId="WW8Num206z0">
    <w:name w:val="WW8Num206z0"/>
    <w:qFormat/>
    <w:rPr/>
  </w:style>
  <w:style w:type="character" w:styleId="WW8Num207z0">
    <w:name w:val="WW8Num207z0"/>
    <w:qFormat/>
    <w:rPr/>
  </w:style>
  <w:style w:type="character" w:styleId="WW8Num209z0">
    <w:name w:val="WW8Num209z0"/>
    <w:qFormat/>
    <w:rPr/>
  </w:style>
  <w:style w:type="character" w:styleId="WW8Num210z0">
    <w:name w:val="WW8Num210z0"/>
    <w:qFormat/>
    <w:rPr/>
  </w:style>
  <w:style w:type="character" w:styleId="WW8Num211z0">
    <w:name w:val="WW8Num211z0"/>
    <w:qFormat/>
    <w:rPr/>
  </w:style>
  <w:style w:type="character" w:styleId="WW8Num212z0">
    <w:name w:val="WW8Num212z0"/>
    <w:qFormat/>
    <w:rPr/>
  </w:style>
  <w:style w:type="character" w:styleId="WW8Num213z0">
    <w:name w:val="WW8Num213z0"/>
    <w:qFormat/>
    <w:rPr/>
  </w:style>
  <w:style w:type="character" w:styleId="WW8Num214z0">
    <w:name w:val="WW8Num214z0"/>
    <w:qFormat/>
    <w:rPr/>
  </w:style>
  <w:style w:type="character" w:styleId="WW8Num215z0">
    <w:name w:val="WW8Num215z0"/>
    <w:qFormat/>
    <w:rPr/>
  </w:style>
  <w:style w:type="character" w:styleId="WW8Num216z0">
    <w:name w:val="WW8Num216z0"/>
    <w:qFormat/>
    <w:rPr>
      <w:rFonts w:ascii="Times New Roman" w:hAnsi="Times New Roman" w:cs="Times New Roman"/>
      <w:b w:val="false"/>
      <w:i w:val="false"/>
      <w:sz w:val="24"/>
    </w:rPr>
  </w:style>
  <w:style w:type="character" w:styleId="WW8Num216z1">
    <w:name w:val="WW8Num216z1"/>
    <w:qFormat/>
    <w:rPr/>
  </w:style>
  <w:style w:type="character" w:styleId="WW8Num217z0">
    <w:name w:val="WW8Num217z0"/>
    <w:qFormat/>
    <w:rPr>
      <w:rFonts w:ascii="Symbol" w:hAnsi="Symbol" w:cs="Symbol"/>
    </w:rPr>
  </w:style>
  <w:style w:type="character" w:styleId="WW8Num218z0">
    <w:name w:val="WW8Num218z0"/>
    <w:qFormat/>
    <w:rPr/>
  </w:style>
  <w:style w:type="character" w:styleId="WW8Num218z1">
    <w:name w:val="WW8Num218z1"/>
    <w:qFormat/>
    <w:rPr>
      <w:rFonts w:ascii="Times New Roman" w:hAnsi="Times New Roman" w:cs="Times New Roman"/>
      <w:sz w:val="24"/>
    </w:rPr>
  </w:style>
  <w:style w:type="character" w:styleId="WW8Num219z0">
    <w:name w:val="WW8Num219z0"/>
    <w:qFormat/>
    <w:rPr>
      <w:u w:val="single"/>
    </w:rPr>
  </w:style>
  <w:style w:type="character" w:styleId="WW8Num220z0">
    <w:name w:val="WW8Num220z0"/>
    <w:qFormat/>
    <w:rPr/>
  </w:style>
  <w:style w:type="character" w:styleId="WW8Num221z0">
    <w:name w:val="WW8Num221z0"/>
    <w:qFormat/>
    <w:rPr>
      <w:b w:val="false"/>
      <w:i w:val="false"/>
    </w:rPr>
  </w:style>
  <w:style w:type="character" w:styleId="WW8Num221z2">
    <w:name w:val="WW8Num221z2"/>
    <w:qFormat/>
    <w:rPr/>
  </w:style>
  <w:style w:type="character" w:styleId="WW8Num222z0">
    <w:name w:val="WW8Num222z0"/>
    <w:qFormat/>
    <w:rPr/>
  </w:style>
  <w:style w:type="character" w:styleId="WW8Num224z0">
    <w:name w:val="WW8Num224z0"/>
    <w:qFormat/>
    <w:rPr/>
  </w:style>
  <w:style w:type="character" w:styleId="WW8Num225z0">
    <w:name w:val="WW8Num225z0"/>
    <w:qFormat/>
    <w:rPr/>
  </w:style>
  <w:style w:type="character" w:styleId="WW8Num226z0">
    <w:name w:val="WW8Num226z0"/>
    <w:qFormat/>
    <w:rPr/>
  </w:style>
  <w:style w:type="character" w:styleId="WW8Num227z0">
    <w:name w:val="WW8Num227z0"/>
    <w:qFormat/>
    <w:rPr/>
  </w:style>
  <w:style w:type="character" w:styleId="WW8Num228z0">
    <w:name w:val="WW8Num228z0"/>
    <w:qFormat/>
    <w:rPr>
      <w:rFonts w:ascii="Symbol" w:hAnsi="Symbol" w:cs="Symbol"/>
    </w:rPr>
  </w:style>
  <w:style w:type="character" w:styleId="WW8Num229z0">
    <w:name w:val="WW8Num229z0"/>
    <w:qFormat/>
    <w:rPr/>
  </w:style>
  <w:style w:type="character" w:styleId="WW8Num230z0">
    <w:name w:val="WW8Num230z0"/>
    <w:qFormat/>
    <w:rPr/>
  </w:style>
  <w:style w:type="character" w:styleId="WW8Num231z0">
    <w:name w:val="WW8Num231z0"/>
    <w:qFormat/>
    <w:rPr/>
  </w:style>
  <w:style w:type="character" w:styleId="WW8Num231z1">
    <w:name w:val="WW8Num231z1"/>
    <w:qFormat/>
    <w:rPr>
      <w:b w:val="false"/>
      <w:i w:val="false"/>
    </w:rPr>
  </w:style>
  <w:style w:type="character" w:styleId="WW8Num232z0">
    <w:name w:val="WW8Num232z0"/>
    <w:qFormat/>
    <w:rPr/>
  </w:style>
  <w:style w:type="character" w:styleId="WW8Num233z0">
    <w:name w:val="WW8Num233z0"/>
    <w:qFormat/>
    <w:rPr/>
  </w:style>
  <w:style w:type="character" w:styleId="WW8Num235z0">
    <w:name w:val="WW8Num235z0"/>
    <w:qFormat/>
    <w:rPr/>
  </w:style>
  <w:style w:type="character" w:styleId="WW8Num236z0">
    <w:name w:val="WW8Num236z0"/>
    <w:qFormat/>
    <w:rPr/>
  </w:style>
  <w:style w:type="character" w:styleId="WW8Num237z0">
    <w:name w:val="WW8Num237z0"/>
    <w:qFormat/>
    <w:rPr/>
  </w:style>
  <w:style w:type="character" w:styleId="WW8Num238z0">
    <w:name w:val="WW8Num238z0"/>
    <w:qFormat/>
    <w:rPr>
      <w:rFonts w:ascii="Symbol" w:hAnsi="Symbol" w:cs="Symbol"/>
    </w:rPr>
  </w:style>
  <w:style w:type="character" w:styleId="WW8Num239z0">
    <w:name w:val="WW8Num239z0"/>
    <w:qFormat/>
    <w:rPr/>
  </w:style>
  <w:style w:type="character" w:styleId="WW8Num240z0">
    <w:name w:val="WW8Num240z0"/>
    <w:qFormat/>
    <w:rPr/>
  </w:style>
  <w:style w:type="character" w:styleId="WW8Num241z0">
    <w:name w:val="WW8Num241z0"/>
    <w:qFormat/>
    <w:rPr/>
  </w:style>
  <w:style w:type="character" w:styleId="WW8Num242z0">
    <w:name w:val="WW8Num242z0"/>
    <w:qFormat/>
    <w:rPr>
      <w:b w:val="false"/>
      <w:u w:val="none"/>
    </w:rPr>
  </w:style>
  <w:style w:type="character" w:styleId="WW8Num243z0">
    <w:name w:val="WW8Num243z0"/>
    <w:qFormat/>
    <w:rPr/>
  </w:style>
  <w:style w:type="character" w:styleId="WW8Num244z0">
    <w:name w:val="WW8Num244z0"/>
    <w:qFormat/>
    <w:rPr/>
  </w:style>
  <w:style w:type="character" w:styleId="WW8Num245z0">
    <w:name w:val="WW8Num245z0"/>
    <w:qFormat/>
    <w:rPr>
      <w:rFonts w:ascii="Symbol" w:hAnsi="Symbol" w:cs="Symbol"/>
    </w:rPr>
  </w:style>
  <w:style w:type="character" w:styleId="WW8Num247z0">
    <w:name w:val="WW8Num247z0"/>
    <w:qFormat/>
    <w:rPr/>
  </w:style>
  <w:style w:type="character" w:styleId="WW8Num249z0">
    <w:name w:val="WW8Num249z0"/>
    <w:qFormat/>
    <w:rPr/>
  </w:style>
  <w:style w:type="character" w:styleId="WW8Num250z0">
    <w:name w:val="WW8Num250z0"/>
    <w:qFormat/>
    <w:rPr/>
  </w:style>
  <w:style w:type="character" w:styleId="WW8Num251z0">
    <w:name w:val="WW8Num251z0"/>
    <w:qFormat/>
    <w:rPr/>
  </w:style>
  <w:style w:type="character" w:styleId="WW8Num252z0">
    <w:name w:val="WW8Num252z0"/>
    <w:qFormat/>
    <w:rPr/>
  </w:style>
  <w:style w:type="character" w:styleId="WW8Num253z0">
    <w:name w:val="WW8Num253z0"/>
    <w:qFormat/>
    <w:rPr/>
  </w:style>
  <w:style w:type="character" w:styleId="WW8Num254z0">
    <w:name w:val="WW8Num254z0"/>
    <w:qFormat/>
    <w:rPr>
      <w:b w:val="false"/>
      <w:i w:val="false"/>
    </w:rPr>
  </w:style>
  <w:style w:type="character" w:styleId="WW8Num254z2">
    <w:name w:val="WW8Num254z2"/>
    <w:qFormat/>
    <w:rPr/>
  </w:style>
  <w:style w:type="character" w:styleId="WW8Num255z0">
    <w:name w:val="WW8Num255z0"/>
    <w:qFormat/>
    <w:rPr/>
  </w:style>
  <w:style w:type="character" w:styleId="WW8Num256z0">
    <w:name w:val="WW8Num256z0"/>
    <w:qFormat/>
    <w:rPr/>
  </w:style>
  <w:style w:type="character" w:styleId="WW8Num257z0">
    <w:name w:val="WW8Num257z0"/>
    <w:qFormat/>
    <w:rPr/>
  </w:style>
  <w:style w:type="character" w:styleId="WW8Num258z0">
    <w:name w:val="WW8Num258z0"/>
    <w:qFormat/>
    <w:rPr/>
  </w:style>
  <w:style w:type="character" w:styleId="WW8Num259z0">
    <w:name w:val="WW8Num259z0"/>
    <w:qFormat/>
    <w:rPr/>
  </w:style>
  <w:style w:type="character" w:styleId="WW8Num260z0">
    <w:name w:val="WW8Num260z0"/>
    <w:qFormat/>
    <w:rPr/>
  </w:style>
  <w:style w:type="character" w:styleId="WW8Num261z0">
    <w:name w:val="WW8Num261z0"/>
    <w:qFormat/>
    <w:rPr/>
  </w:style>
  <w:style w:type="character" w:styleId="WW8Num262z0">
    <w:name w:val="WW8Num262z0"/>
    <w:qFormat/>
    <w:rPr/>
  </w:style>
  <w:style w:type="character" w:styleId="WW8Num263z0">
    <w:name w:val="WW8Num263z0"/>
    <w:qFormat/>
    <w:rPr/>
  </w:style>
  <w:style w:type="character" w:styleId="WW8Num265z0">
    <w:name w:val="WW8Num265z0"/>
    <w:qFormat/>
    <w:rPr/>
  </w:style>
  <w:style w:type="character" w:styleId="WW8Num266z0">
    <w:name w:val="WW8Num266z0"/>
    <w:qFormat/>
    <w:rPr/>
  </w:style>
  <w:style w:type="character" w:styleId="WW8NumSt32z0">
    <w:name w:val="WW8NumSt32z0"/>
    <w:qFormat/>
    <w:rPr>
      <w:rFonts w:ascii="Symbol" w:hAnsi="Symbol" w:cs="Symbol"/>
    </w:rPr>
  </w:style>
  <w:style w:type="character" w:styleId="WW8NumSt56z0">
    <w:name w:val="WW8NumSt56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z w:val="18"/>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b/>
      <w:kern w:val="2"/>
      <w:sz w:val="32"/>
    </w:rPr>
  </w:style>
  <w:style w:type="paragraph" w:styleId="BodyText">
    <w:name w:val="Body Text"/>
    <w:basedOn w:val="Normal"/>
    <w:pPr>
      <w:spacing w:before="0" w:after="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040" w:leader="none"/>
        <w:tab w:val="right" w:pos="8640" w:leader="none"/>
      </w:tabs>
      <w:spacing w:before="0" w:after="240"/>
    </w:pPr>
    <w:rPr>
      <w:sz w:val="16"/>
    </w:rPr>
  </w:style>
  <w:style w:type="paragraph" w:styleId="DocumentMap">
    <w:name w:val="Document Map"/>
    <w:basedOn w:val="Normal"/>
    <w:qFormat/>
    <w:pPr>
      <w:shd w:fill="000080" w:val="clear"/>
    </w:pPr>
    <w:rPr>
      <w:rFonts w:ascii="Tahoma" w:hAnsi="Tahoma" w:cs="Tahoma"/>
    </w:rPr>
  </w:style>
  <w:style w:type="paragraph" w:styleId="TOC1">
    <w:name w:val="toc 1"/>
    <w:basedOn w:val="Normal"/>
    <w:next w:val="Normal"/>
    <w:pPr/>
    <w:rPr/>
  </w:style>
  <w:style w:type="paragraph" w:styleId="TOC2">
    <w:name w:val="toc 2"/>
    <w:basedOn w:val="Normal"/>
    <w:next w:val="Normal"/>
    <w:pPr>
      <w:ind w:hanging="0" w:start="245" w:end="0"/>
    </w:pPr>
    <w:rPr/>
  </w:style>
  <w:style w:type="paragraph" w:styleId="TOC3">
    <w:name w:val="toc 3"/>
    <w:basedOn w:val="Normal"/>
    <w:next w:val="Normal"/>
    <w:pPr>
      <w:ind w:hanging="0" w:start="475"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9">
    <w:name w:val="toc 9"/>
    <w:basedOn w:val="Normal"/>
    <w:next w:val="Normal"/>
    <w:pPr>
      <w:ind w:hanging="0" w:start="1920" w:end="0"/>
    </w:pPr>
    <w:rPr/>
  </w:style>
  <w:style w:type="paragraph" w:styleId="FootnoteText">
    <w:name w:val="footnote text"/>
    <w:basedOn w:val="Normal"/>
    <w:pPr/>
    <w:rPr>
      <w:sz w:val="20"/>
    </w:rPr>
  </w:style>
  <w:style w:type="paragraph" w:styleId="Closing">
    <w:name w:val="Closing"/>
    <w:basedOn w:val="Normal"/>
    <w:qFormat/>
    <w:pPr>
      <w:ind w:hanging="0" w:start="5040" w:end="0"/>
    </w:pPr>
    <w:rPr/>
  </w:style>
  <w:style w:type="paragraph" w:styleId="Subtitle">
    <w:name w:val="Subtitle"/>
    <w:basedOn w:val="Normal"/>
    <w:next w:val="BodyText"/>
    <w:qFormat/>
    <w:pPr>
      <w:jc w:val="center"/>
    </w:pPr>
    <w:rPr/>
  </w:style>
  <w:style w:type="paragraph" w:styleId="BlockText">
    <w:name w:val="Block Text"/>
    <w:basedOn w:val="Normal"/>
    <w:next w:val="Normal"/>
    <w:qFormat/>
    <w:pPr>
      <w:ind w:hanging="0" w:start="1440" w:end="1440"/>
    </w:pPr>
    <w:rPr/>
  </w:style>
  <w:style w:type="paragraph" w:styleId="EnvelopeAddress">
    <w:name w:val="envelope address"/>
    <w:basedOn w:val="Normal"/>
    <w:pPr>
      <w:ind w:hanging="0" w:start="2880" w:end="0"/>
    </w:pPr>
    <w:rPr>
      <w:rFonts w:ascii="Arial" w:hAnsi="Arial" w:cs="Arial"/>
    </w:rPr>
  </w:style>
  <w:style w:type="paragraph" w:styleId="EndnoteText">
    <w:name w:val="endnote text"/>
    <w:basedOn w:val="Normal"/>
    <w:pPr/>
    <w:rPr>
      <w:sz w:val="20"/>
    </w:rPr>
  </w:style>
  <w:style w:type="paragraph" w:styleId="Header">
    <w:name w:val="header"/>
    <w:basedOn w:val="Normal"/>
    <w:pPr>
      <w:tabs>
        <w:tab w:val="clear" w:pos="720"/>
        <w:tab w:val="center" w:pos="5040" w:leader="none"/>
        <w:tab w:val="right" w:pos="8640" w:leader="none"/>
      </w:tabs>
    </w:pPr>
    <w:rPr/>
  </w:style>
  <w:style w:type="paragraph" w:styleId="Signature">
    <w:name w:val="Signature"/>
    <w:basedOn w:val="Normal"/>
    <w:pPr>
      <w:ind w:hanging="0" w:start="5040" w:end="0"/>
    </w:pPr>
    <w:rPr/>
  </w:style>
  <w:style w:type="paragraph" w:styleId="TOAHeading">
    <w:name w:val="TOA Heading"/>
    <w:basedOn w:val="Normal"/>
    <w:next w:val="Normal"/>
    <w:qFormat/>
    <w:pPr/>
    <w:rPr>
      <w:b/>
    </w:rPr>
  </w:style>
  <w:style w:type="paragraph" w:styleId="NormalIndent">
    <w:name w:val="Normal Indent"/>
    <w:basedOn w:val="Normal"/>
    <w:qFormat/>
    <w:pPr>
      <w:spacing w:before="0" w:after="240"/>
      <w:ind w:firstLine="1440" w:start="0" w:end="0"/>
    </w:pPr>
    <w:rPr/>
  </w:style>
  <w:style w:type="paragraph" w:styleId="BodyTextIndent">
    <w:name w:val="Body Text Indent"/>
    <w:basedOn w:val="Normal"/>
    <w:pPr>
      <w:ind w:hanging="720" w:start="2160" w:end="0"/>
    </w:pPr>
    <w:rPr/>
  </w:style>
  <w:style w:type="paragraph" w:styleId="BodyTextIndent2">
    <w:name w:val="Body Text Indent 2"/>
    <w:basedOn w:val="Normal"/>
    <w:qFormat/>
    <w:pPr>
      <w:ind w:hanging="0" w:start="1440" w:end="0"/>
    </w:pPr>
    <w:rPr/>
  </w:style>
  <w:style w:type="paragraph" w:styleId="DefaultText">
    <w:name w:val="Default Text"/>
    <w:basedOn w:val="Normal"/>
    <w:qFormat/>
    <w:pPr>
      <w:overflowPunct w:val="false"/>
      <w:autoSpaceDE w:val="false"/>
      <w:spacing w:before="0" w:after="0"/>
      <w:jc w:val="start"/>
      <w:textAlignment w:val="baseline"/>
    </w:pPr>
    <w:rPr/>
  </w:style>
  <w:style w:type="paragraph" w:styleId="CommentText">
    <w:name w:val="Comment Text"/>
    <w:basedOn w:val="Normal"/>
    <w:qFormat/>
    <w:pPr/>
    <w:rPr>
      <w:sz w:val="20"/>
    </w:rPr>
  </w:style>
  <w:style w:type="paragraph" w:styleId="NumContinue">
    <w:name w:val="Num Continue"/>
    <w:basedOn w:val="BodyText"/>
    <w:qFormat/>
    <w:pPr>
      <w:spacing w:before="0" w:after="240"/>
      <w:ind w:firstLine="720" w:start="0" w:end="0"/>
      <w:jc w:val="start"/>
    </w:pPr>
    <w:rPr/>
  </w:style>
  <w:style w:type="paragraph" w:styleId="OutlineL1">
    <w:name w:val="Outline_L1"/>
    <w:basedOn w:val="Normal"/>
    <w:next w:val="NumContinue"/>
    <w:qFormat/>
    <w:pPr>
      <w:keepNext w:val="true"/>
      <w:widowControl/>
      <w:numPr>
        <w:ilvl w:val="0"/>
        <w:numId w:val="6"/>
      </w:numPr>
      <w:spacing w:before="0" w:after="240"/>
      <w:jc w:val="start"/>
      <w:outlineLvl w:val="0"/>
    </w:pPr>
    <w:rPr/>
  </w:style>
  <w:style w:type="paragraph" w:styleId="OutlineL2">
    <w:name w:val="Outline_L2"/>
    <w:basedOn w:val="OutlineL1"/>
    <w:next w:val="NumContinue"/>
    <w:qFormat/>
    <w:pPr>
      <w:keepNext w:val="false"/>
      <w:numPr>
        <w:ilvl w:val="0"/>
        <w:numId w:val="11"/>
      </w:numPr>
      <w:ind w:hanging="720" w:start="1440" w:end="0"/>
      <w:outlineLvl w:val="1"/>
    </w:pPr>
    <w:rPr/>
  </w:style>
  <w:style w:type="paragraph" w:styleId="OutlineL3">
    <w:name w:val="Outline_L3"/>
    <w:basedOn w:val="OutlineL2"/>
    <w:next w:val="NumContinue"/>
    <w:qFormat/>
    <w:pPr>
      <w:numPr>
        <w:ilvl w:val="0"/>
        <w:numId w:val="11"/>
      </w:numPr>
      <w:tabs>
        <w:tab w:val="clear" w:pos="720"/>
        <w:tab w:val="left" w:pos="360" w:leader="none"/>
      </w:tabs>
      <w:ind w:hanging="1440" w:start="2160" w:end="0"/>
      <w:outlineLvl w:val="2"/>
    </w:pPr>
    <w:rPr/>
  </w:style>
  <w:style w:type="paragraph" w:styleId="OutlineL4">
    <w:name w:val="Outline_L4"/>
    <w:basedOn w:val="OutlineL3"/>
    <w:next w:val="NumContinue"/>
    <w:qFormat/>
    <w:pPr>
      <w:numPr>
        <w:ilvl w:val="0"/>
        <w:numId w:val="11"/>
      </w:numPr>
      <w:tabs>
        <w:tab w:val="left" w:pos="360" w:leader="none"/>
        <w:tab w:val="left" w:pos="1170" w:leader="none"/>
      </w:tabs>
      <w:ind w:hanging="375" w:start="1170" w:end="0"/>
      <w:outlineLvl w:val="3"/>
    </w:pPr>
    <w:rPr/>
  </w:style>
  <w:style w:type="paragraph" w:styleId="OutlineL5">
    <w:name w:val="Outline_L5"/>
    <w:basedOn w:val="OutlineL4"/>
    <w:next w:val="NumContinue"/>
    <w:qFormat/>
    <w:pPr>
      <w:numPr>
        <w:ilvl w:val="0"/>
        <w:numId w:val="11"/>
      </w:numPr>
      <w:ind w:hanging="360" w:start="360" w:end="0"/>
      <w:outlineLvl w:val="4"/>
    </w:pPr>
    <w:rPr/>
  </w:style>
  <w:style w:type="paragraph" w:styleId="OutlineL6">
    <w:name w:val="Outline_L6"/>
    <w:basedOn w:val="OutlineL5"/>
    <w:next w:val="NumContinue"/>
    <w:qFormat/>
    <w:pPr>
      <w:numPr>
        <w:ilvl w:val="0"/>
        <w:numId w:val="11"/>
      </w:numPr>
      <w:tabs>
        <w:tab w:val="left" w:pos="360" w:leader="none"/>
        <w:tab w:val="left" w:pos="720" w:leader="none"/>
        <w:tab w:val="left" w:pos="1170" w:leader="none"/>
      </w:tabs>
      <w:ind w:hanging="720" w:start="720" w:end="0"/>
      <w:outlineLvl w:val="5"/>
    </w:pPr>
    <w:rPr/>
  </w:style>
  <w:style w:type="paragraph" w:styleId="OutlineL7">
    <w:name w:val="Outline_L7"/>
    <w:basedOn w:val="OutlineL6"/>
    <w:next w:val="NumContinue"/>
    <w:qFormat/>
    <w:pPr>
      <w:numPr>
        <w:ilvl w:val="0"/>
        <w:numId w:val="11"/>
      </w:numPr>
      <w:ind w:hanging="360" w:start="360" w:end="0"/>
      <w:outlineLvl w:val="6"/>
    </w:pPr>
    <w:rPr/>
  </w:style>
  <w:style w:type="paragraph" w:styleId="OutlineL8">
    <w:name w:val="Outline_L8"/>
    <w:basedOn w:val="OutlineL7"/>
    <w:next w:val="NumContinue"/>
    <w:qFormat/>
    <w:pPr>
      <w:numPr>
        <w:ilvl w:val="0"/>
        <w:numId w:val="11"/>
      </w:numPr>
      <w:ind w:hanging="360" w:start="360" w:end="0"/>
      <w:outlineLvl w:val="7"/>
    </w:pPr>
    <w:rPr/>
  </w:style>
  <w:style w:type="paragraph" w:styleId="OutlineL9">
    <w:name w:val="Outline_L9"/>
    <w:basedOn w:val="OutlineL8"/>
    <w:next w:val="NumContinue"/>
    <w:qFormat/>
    <w:pPr>
      <w:numPr>
        <w:ilvl w:val="0"/>
        <w:numId w:val="11"/>
      </w:numPr>
      <w:ind w:hanging="360" w:start="360" w:end="0"/>
      <w:outlineLvl w:val="8"/>
    </w:pPr>
    <w:rPr/>
  </w:style>
  <w:style w:type="paragraph" w:styleId="ListNumber4">
    <w:name w:val="List Number 4"/>
    <w:basedOn w:val="Normal"/>
    <w:qFormat/>
    <w:pPr>
      <w:widowControl/>
      <w:numPr>
        <w:ilvl w:val="0"/>
        <w:numId w:val="2"/>
      </w:numPr>
      <w:spacing w:before="0" w:after="0"/>
      <w:jc w:val="start"/>
    </w:pPr>
    <w:rPr/>
  </w:style>
  <w:style w:type="paragraph" w:styleId="BodyTextIndent3">
    <w:name w:val="Body Text Indent 3"/>
    <w:basedOn w:val="Normal"/>
    <w:qFormat/>
    <w:pPr>
      <w:ind w:hanging="720" w:start="720" w:end="0"/>
    </w:pPr>
    <w:rPr/>
  </w:style>
  <w:style w:type="paragraph" w:styleId="BodyText3">
    <w:name w:val="Body Text 3"/>
    <w:basedOn w:val="Normal"/>
    <w:qFormat/>
    <w:pPr>
      <w:widowControl/>
      <w:spacing w:before="0" w:after="0"/>
    </w:pPr>
    <w:rPr/>
  </w:style>
  <w:style w:type="paragraph" w:styleId="ArticleL3">
    <w:name w:val="Article_L3"/>
    <w:basedOn w:val="Normal"/>
    <w:next w:val="Normal"/>
    <w:qFormat/>
    <w:pPr>
      <w:tabs>
        <w:tab w:val="left" w:pos="720" w:leader="none"/>
      </w:tabs>
      <w:spacing w:before="240" w:after="0"/>
      <w:ind w:hanging="720" w:start="720" w:end="0"/>
      <w:jc w:val="start"/>
    </w:pPr>
    <w:rPr/>
  </w:style>
  <w:style w:type="paragraph" w:styleId="Index1">
    <w:name w:val="index 1"/>
    <w:basedOn w:val="Normal"/>
    <w:next w:val="Normal"/>
    <w:pPr>
      <w:widowControl/>
      <w:spacing w:before="0" w:after="0"/>
      <w:jc w:val="start"/>
    </w:pPr>
    <w:rPr>
      <w:szCs w:val="24"/>
    </w:rPr>
  </w:style>
  <w:style w:type="paragraph" w:styleId="Justified">
    <w:name w:val="Justified"/>
    <w:basedOn w:val="Normal"/>
    <w:next w:val="Heading2"/>
    <w:qFormat/>
    <w:pPr>
      <w:widowControl/>
      <w:spacing w:before="0" w:after="120"/>
    </w:pPr>
    <w:rPr>
      <w:rFonts w:ascii="Courier" w:hAnsi="Courier" w:cs="Courier"/>
      <w:sz w:val="26"/>
    </w:rPr>
  </w:style>
  <w:style w:type="paragraph" w:styleId="ArticleL2">
    <w:name w:val="Article_L2"/>
    <w:basedOn w:val="Normal"/>
    <w:next w:val="Normal"/>
    <w:qFormat/>
    <w:pPr>
      <w:keepNext w:val="true"/>
      <w:tabs>
        <w:tab w:val="clear" w:pos="720"/>
        <w:tab w:val="left" w:pos="1440" w:leader="none"/>
        <w:tab w:val="left" w:pos="1584" w:leader="none"/>
      </w:tabs>
      <w:spacing w:before="240" w:after="0"/>
      <w:jc w:val="start"/>
    </w:pPr>
    <w:rPr>
      <w:rFonts w:ascii="Times New Roman Bold" w:hAnsi="Times New Roman Bold" w:cs="Times New Roman Bold"/>
      <w:b/>
    </w:rPr>
  </w:style>
  <w:style w:type="paragraph" w:styleId="BodyTextFirstIndent">
    <w:name w:val="Body Text First Indent"/>
    <w:basedOn w:val="Normal"/>
    <w:qFormat/>
    <w:pPr>
      <w:widowControl/>
      <w:spacing w:before="0" w:after="240"/>
      <w:ind w:firstLine="72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2001-04-03T10:28:00Z</dcterms:created>
  <dc:creator>Stephen Krebs</dc:creator>
  <dc:description/>
  <dc:language>en-CA</dc:language>
  <cp:lastModifiedBy>kmann</cp:lastModifiedBy>
  <cp:lastPrinted>2001-04-03T11:25:00Z</cp:lastPrinted>
  <dcterms:modified xsi:type="dcterms:W3CDTF">2001-04-03T14:42:00Z</dcterms:modified>
  <cp:revision>3</cp:revision>
  <dc:subject/>
  <dc:title>CAPACITY, ENERGY AND ANCILLARY SERVICES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ies>
</file>