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(Agreement) is made effective as of March ___, 2001 by and between Mississippi Delta Energy Agency, Yazoo City, and the City of Clarksdale (collectively referred to as MDEA or Customer), a [],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MDEA is a qualified wholesale electric generating company with authority to buy and sell electric power at wholesale at market-based rates and is a load serving entity at retail. MDEA is the owner and operator of a dual fuel electric generating plants located in the State of Mississippi (“the Facilities”), which are interconnected with the electric transmission system owned by Entergy and delivers power generated from the Facilities into the Entergy transmission system.  The Facilities have a nominal generating capacity of 95 MW, and MDEA has an additional 26 MW of firm power under contract.</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rPr>
        <w:t xml:space="preserve">C.  </w:t>
      </w:r>
      <w:r>
        <w:rPr/>
        <w:t>MDEA desires to engage EPMI to (or to cause one of its affiliates to) provide asset management and scheduling services for the Facilities and to serve the native load,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rPr>
        <w:t xml:space="preserve">D.  </w:t>
      </w:r>
      <w:r>
        <w:rPr/>
        <w:t>EPMI desires to provide asset management and scheduling services relating to the Facilities and the native load, and to provide such other services to MDEA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b/>
        </w:rPr>
      </w:pPr>
      <w:r>
        <w:rPr>
          <w:b/>
        </w:rPr>
        <w:t>1.</w:t>
        <w:tab/>
        <w:t xml:space="preserve">Definitions.  </w:t>
      </w:r>
    </w:p>
    <w:p>
      <w:pPr>
        <w:pStyle w:val="NormalIndent"/>
        <w:widowControl/>
        <w:ind w:hanging="0" w:end="0"/>
        <w:rPr/>
      </w:pP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pPr>
      <w:r>
        <w:rPr/>
        <w:t>“</w:t>
      </w:r>
      <w:r>
        <w:rPr/>
        <w:t>Asset Management Services” means those services to be provided by EPMI as described by Exhibit [1] in accordance with this Agreement.</w:t>
      </w:r>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w:t>
      </w:r>
      <w:r>
        <w:rPr/>
        <w:t>Back-to-Back Transaction” means the sale or purchase by EPMI of a Product transacting with a third party, or a Fuel Transaction  involving a third party as a result of EPMI's obligations under this Agreement which is then matched to a corresponding sale or purchase of the same Product by MDEA to EPMI under the MPPSA between the Parties, or a corresponding Fuel Transaction with MDEA.</w:t>
      </w:r>
    </w:p>
    <w:p>
      <w:pPr>
        <w:pStyle w:val="NormalIndent"/>
        <w:widowControl/>
        <w:ind w:hanging="0" w:end="0"/>
        <w:rPr/>
      </w:pPr>
      <w:r>
        <w:rPr/>
        <w:t>“</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with MDEA and with the corresponding third party under a Back-to-Back Transaction which specifies the Product being sold, the duration of the Transaction and the other terms of such sale, including price.</w:t>
      </w:r>
    </w:p>
    <w:p>
      <w:pPr>
        <w:pStyle w:val="Heading2"/>
        <w:widowControl/>
        <w:ind w:hanging="0" w:end="0"/>
        <w:rPr/>
      </w:pPr>
      <w:r>
        <w:rPr/>
        <w:t xml:space="preserve">"Costs” means, when applicable to any Transaction, all costs, liabilities, fees and expenses (reduced by any credits) incurred by either MDEA or EPMI (excluding EPMI's internal costs and allocated overhead) in connection with (a)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the cost of Ancillary Services, (vii) applicable control area services costs, (ix) inadvertent energy flow charges, (viii) imbalance charges, (ix) SERC-imposed penalties; (x) taxes (other than income taxes); (xi) fees or charges imposed by the Federal Energy Regulatory Commission (FERC), SERC, SPP,  or other regulatory authorities; (xii) broker fees and costs; (xiii) other costs incurred by EPMI in providing the Scheduling Services and (xiv)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w:t>
      </w:r>
    </w:p>
    <w:p>
      <w:pPr>
        <w:pStyle w:val="Heading2"/>
        <w:widowControl/>
        <w:ind w:hanging="0" w:end="0"/>
        <w:rPr/>
      </w:pPr>
      <w:r>
        <w:rPr/>
        <w:t>“</w:t>
      </w:r>
      <w:r>
        <w:rPr/>
        <w:t>CPT” means central prevailing time.</w:t>
      </w:r>
    </w:p>
    <w:p>
      <w:pPr>
        <w:pStyle w:val="NormalIndent"/>
        <w:widowControl/>
        <w:ind w:hanging="0" w:end="0"/>
        <w:rPr/>
      </w:pPr>
      <w:r>
        <w:rPr/>
        <w:t>“</w:t>
      </w:r>
      <w:r>
        <w:rPr/>
        <w:t>Delivery Point” means (a) for power (i) the interfaces  located at the interconnection between Clarksdale and Yazoo City transmission systems at the  115 kV switching station  and the Entergy system, or (ii) the point specified in any Back-to-Back Transaction, EPMI Transaction or Structured Transaction at which Products are to be tendered under a Confirmation; (b) for natural gas, (i) for Clarksdale, the point of interconnection between Texas Gas and Clarksdale (ii) for Yazoo City, the interconnection between Southern Natural Gas (Sonat) and Mississippi Valley Gas for the Yazoo City Power Plant (the Sonat Delivery Point) (iii) the interconnection between Mississippi Valley Gas (MVG) and the Yazoo City Power Plant (MVG Delivery Point), (iv) any point specified in a Fuel Transaction</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buy or sell Products under the MPPSA..</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 xml:space="preserve"> “</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 xml:space="preserve">Existing Contracted Resources” means those fully executed written agreements in effect on the Effective Date of this Agreement, under which a third party is obligated or has the option to sell  sell Energy, Capacity and/or Ancillary Services or fuel to MDEA, identified on [Exhibit  ] attached hereto. </w:t>
      </w:r>
    </w:p>
    <w:p>
      <w:pPr>
        <w:pStyle w:val="NormalIndent"/>
        <w:widowControl/>
        <w:ind w:hanging="0" w:end="0"/>
        <w:rPr/>
      </w:pPr>
      <w:r>
        <w:rPr/>
        <w:t>“</w:t>
      </w:r>
      <w:r>
        <w:rPr/>
        <w:t>Facilities” means those electric generating assets and related facilities listed in [Exhibit __]. “Facility” refers generically to one of the Facilities.</w:t>
      </w:r>
    </w:p>
    <w:p>
      <w:pPr>
        <w:pStyle w:val="NormalIndent"/>
        <w:widowControl/>
        <w:ind w:hanging="0" w:end="0"/>
        <w:rPr/>
      </w:pPr>
      <w:r>
        <w:rPr/>
        <w:t>“</w:t>
      </w:r>
      <w:r>
        <w:rPr/>
        <w:t>Financial Security” shall mean the types of financial security required of each of the Parties in accordance with this Agreement.</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Fuel Costs” means the cost of all natural gas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 Transactions including the release of any firm capacity, the marketing of any excess quantity natural gas by EPMI for and on behalf of MDEA, but excluding ET Fuel Costs.</w:t>
      </w:r>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 Transaction” means any natural gas purchase, resale, exchange, transportation release, or reassignment, storage or balancing agreement entered into by MDEA (or by EPMI on behalf of MDEA) to supply natural gas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Incentive Fee” means the fee described in [Section].</w:t>
      </w:r>
    </w:p>
    <w:p>
      <w:pPr>
        <w:pStyle w:val="Heading2"/>
        <w:widowControl/>
        <w:ind w:hanging="0" w:end="0"/>
        <w:rPr/>
      </w:pPr>
      <w:r>
        <w:rPr/>
        <w:t>“</w:t>
      </w:r>
      <w:r>
        <w:rPr/>
        <w:t>Interest Rate” means rate of interest applicable to any amounts due and not paid under the terms of this Agreement as set forth in Section 16.</w:t>
      </w:r>
    </w:p>
    <w:p>
      <w:pPr>
        <w:pStyle w:val="NormalIndent"/>
        <w:widowControl/>
        <w:ind w:hanging="0" w:end="0"/>
        <w:rPr/>
      </w:pPr>
      <w:r>
        <w:rPr/>
        <w:t>“</w:t>
      </w:r>
      <w:r>
        <w:rPr/>
        <w:t>Market Price” is the price agreed to (i) by any third party for the purchase from EPMI in a Back-to-Back Transaction, (ii) the price paid by EPMI in any EPMI Transaction or (iii) by any third party pursuant to any Structured Transaction. “Marketing Committee” means the committee comprised of representatives of EPMI and MDEA established pursuant to Section 12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pPr>
      <w:r>
        <w:rPr/>
        <w:t>“</w:t>
      </w:r>
      <w:r>
        <w:rPr/>
        <w:t>Market Proceeds” is the aggregate amount of money payable (at the Market Price) under all Back-to-Back Transactions and EPMI Transactions.“Marketing Strategy” means the strategy developed jointly by EPMI and MDEA and approved by the Marketing Committee,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r>
        <w:rPr/>
        <w:t>“</w:t>
      </w:r>
      <w:r>
        <w:rPr/>
        <w:t>Master Gas Purchase and Sale Agreement” or “MGPSA” means the Master Gas Purchase and Sale Agreement entered into between MDEA and Enron North America Corp contemporaneously with this Agreement, for purchases and sales of natural gas.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purchase and sale of Products by and to EPMI under Back-to-Back Transactions or EPMI Transactions.</w:t>
      </w:r>
    </w:p>
    <w:p>
      <w:pPr>
        <w:pStyle w:val="NormalIndent"/>
        <w:widowControl/>
        <w:ind w:hanging="0" w:end="0"/>
        <w:rPr/>
      </w:pPr>
      <w:r>
        <w:rPr/>
        <w:t>“</w:t>
      </w:r>
      <w:r>
        <w:rPr/>
        <w:t>Minimum Product Price” means the lowest acceptable price if selling and highest acceptable price if buying Products in the sole discretion of MDEA. EPMI shall [endeavor] to meet or exceed the Minimum Product Price in connection with transactions governed by this Agreement.</w:t>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87 MW.</w:t>
      </w:r>
    </w:p>
    <w:p>
      <w:pPr>
        <w:pStyle w:val="NormalIndent"/>
        <w:widowControl/>
        <w:ind w:hanging="0" w:end="0"/>
        <w:rPr/>
      </w:pPr>
      <w:r>
        <w:rPr/>
        <w:t>“</w:t>
      </w:r>
      <w:r>
        <w:rPr/>
        <w:t>Off-Peak” means that time period (and each hour) commencing at HE 2300 and ending HE 0600 CPT, Monday through Friday, including NERC holidays, and all weekends.</w:t>
      </w:r>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 xml:space="preserve">Products” means quantities of products or services (including Energy, Capacity, Transmission and Ancillary Services) that may from time to time be sold or purchased under Back-to-Back Transactions, EPMI Transactions, or Structured Transactions. </w:t>
      </w:r>
    </w:p>
    <w:p>
      <w:pPr>
        <w:pStyle w:val="Heading2"/>
        <w:widowControl/>
        <w:ind w:hanging="0" w:end="0"/>
        <w:rPr/>
      </w:pPr>
      <w:r>
        <w:rPr/>
        <w:t>“</w:t>
      </w:r>
      <w:r>
        <w:rPr/>
        <w:t>Profit and Savings” shall have the meaning described in Exhibit [].</w:t>
      </w:r>
    </w:p>
    <w:p>
      <w:pPr>
        <w:pStyle w:val="Heading2"/>
        <w:widowControl/>
        <w:ind w:hanging="0" w:end="0"/>
        <w:rPr/>
      </w:pPr>
      <w:r>
        <w:rPr/>
        <w:t>“</w:t>
      </w:r>
      <w:r>
        <w:rPr/>
        <w:t xml:space="preserve">Protocols” shall mean the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Receipt Point” means (a) for natural gas, that point as defined in the confirmation for a Fuel Transaction  (b) for power, those points identified as Delivery Points.</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[“Scheduling Equipment Costs” means the costs for the installation and ongoing operation of electronic and telecommunications equipment and personnel needed to monitor, control, schedule and report activity as required by this Agreement, interconnected utilities and control areas, NERC, SERC and/or SPP (as applicable), the Facilities and Native Load, and shall include such items as computers, servers, controls, routers, switches, hubs, cables, telephone and telecommunications lines and service, and labor for installation and operations during the term of this Agreement.]</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Agreement, with EPMI acting as MDEA’s Scheduling Entity.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SPP” means the Southwest Power Pool of the North American Electric Council, and successor organizations.</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the policy adopted by the Marketing Committee establishing the parameters of credit and position risk to be taken pursuant to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w:t>
      </w:r>
      <w:r>
        <w:rPr/>
        <w:t>Transmission Services” means the analysis and/or procurement of transmission capacity as part of the Scheduling Services.</w:t>
      </w:r>
    </w:p>
    <w:p>
      <w:pPr>
        <w:pStyle w:val="Heading1"/>
        <w:keepNext w:val="true"/>
        <w:keepLines/>
        <w:widowControl/>
        <w:tabs>
          <w:tab w:val="clear" w:pos="360"/>
        </w:tabs>
        <w:ind w:hanging="0" w:start="0"/>
        <w:rPr>
          <w:b/>
        </w:rPr>
      </w:pPr>
      <w:r>
        <w:rPr>
          <w:b/>
        </w:rPr>
        <w:t>2.</w:t>
        <w:tab/>
        <w:t>Term</w:t>
      </w:r>
    </w:p>
    <w:p>
      <w:pPr>
        <w:pStyle w:val="Heading2"/>
        <w:widowControl/>
        <w:ind w:firstLine="720" w:end="0"/>
        <w:rPr/>
      </w:pPr>
      <w:r>
        <w:rPr/>
        <w:t>(a)</w:t>
        <w:tab/>
        <w:t>This Agreement shall continue in effect for two years from the Effective Date, unless terminated earlier in accordance with the provisions of this Agreement.</w:t>
      </w:r>
    </w:p>
    <w:p>
      <w:pPr>
        <w:pStyle w:val="Heading2"/>
        <w:widowControl/>
        <w:ind w:firstLine="720" w:end="0"/>
        <w:rPr/>
      </w:pPr>
      <w:r>
        <w:rPr/>
        <w:t>(b)</w:t>
        <w:tab/>
        <w:t>This Agreement may be automatically extended for an additional one (1) year period (Extension Term) at the end of the Initial Term upon the same terms and conditions (Renewal Term) unless terminated by either Party upon not less than sixty (60) days written notice prior to the expiration of the Initial Term Thereafter, this Agreement shall continue from year to year on the same terms and conditions (Renewal Term) unless terminated by either Party upon not less than sixty (60) days written notice prior to the expiration of the Initial Term (unless MDEA elects to extend under the Extension Term) Extension Term or any Renewal Term (as the case may be).</w:t>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 in accordance with the terms of this Agreement:</w:t>
      </w:r>
    </w:p>
    <w:p>
      <w:pPr>
        <w:pStyle w:val="Heading2"/>
        <w:widowControl/>
        <w:tabs>
          <w:tab w:val="clear" w:pos="1800"/>
        </w:tabs>
        <w:ind w:firstLine="720" w:start="720" w:end="0"/>
        <w:rPr/>
      </w:pPr>
      <w:r>
        <w:rPr/>
        <w:t>(1)</w:t>
        <w:tab/>
        <w:t xml:space="preserve">In accordance with the Marketing Strategy and the Trading and Risk Policy, EPMI shall use commercially reasonable efforts to provide  Asset Management Services </w:t>
      </w:r>
    </w:p>
    <w:p>
      <w:pPr>
        <w:pStyle w:val="Heading2"/>
        <w:widowControl/>
        <w:tabs>
          <w:tab w:val="clear" w:pos="1800"/>
        </w:tabs>
        <w:rPr/>
      </w:pPr>
      <w:r>
        <w:rPr/>
        <w:t xml:space="preserve"> </w:t>
      </w:r>
      <w:r>
        <w:rPr/>
        <w:t>(2)</w:t>
        <w:tab/>
        <w:t>Maintain the Financial Security required under this Agreement [need to define].</w:t>
      </w:r>
    </w:p>
    <w:p>
      <w:pPr>
        <w:pStyle w:val="Heading2"/>
        <w:widowControl/>
        <w:numPr>
          <w:ilvl w:val="0"/>
          <w:numId w:val="3"/>
        </w:numPr>
        <w:rPr/>
      </w:pPr>
      <w:r>
        <w:rPr/>
        <w:t xml:space="preserve">Designate a responsible person to act as Energy Coordinator for EPMI under this Agreement, and two additional back up Energy Coordinators. </w:t>
      </w:r>
    </w:p>
    <w:p>
      <w:pPr>
        <w:pStyle w:val="Heading2"/>
        <w:widowControl/>
        <w:numPr>
          <w:ilvl w:val="0"/>
          <w:numId w:val="3"/>
        </w:numPr>
        <w:rPr/>
      </w:pPr>
      <w:r>
        <w:rPr/>
        <w:t>Power and gas load forecasting, scheduling Existing Contracted Resources, and assist MDEA in procurement of additional resources to serve MDEA Native Load.</w:t>
      </w:r>
    </w:p>
    <w:p>
      <w:pPr>
        <w:pStyle w:val="Heading2"/>
        <w:widowControl/>
        <w:numPr>
          <w:ilvl w:val="0"/>
          <w:numId w:val="3"/>
        </w:numPr>
        <w:rPr/>
      </w:pPr>
      <w:r>
        <w:rPr/>
        <w:t xml:space="preserve">If and when a new RTO begins operation, seek to provide Scheduling Services and to satisfy required RTO rules and protocols in accordance with RTO requirements. </w:t>
      </w:r>
    </w:p>
    <w:p>
      <w:pPr>
        <w:pStyle w:val="Heading2"/>
        <w:widowControl/>
        <w:numPr>
          <w:ilvl w:val="0"/>
          <w:numId w:val="3"/>
        </w:numPr>
        <w:rPr/>
      </w:pPr>
      <w:r>
        <w:rPr/>
        <w:t>Perform such other duties and obligations as set forth in this Agreement.</w:t>
      </w:r>
    </w:p>
    <w:p>
      <w:pPr>
        <w:pStyle w:val="Heading2"/>
        <w:widowControl/>
        <w:tabs>
          <w:tab w:val="clear" w:pos="1800"/>
        </w:tabs>
        <w:rPr/>
      </w:pPr>
      <w:r>
        <w:rPr/>
      </w:r>
    </w:p>
    <w:p>
      <w:pPr>
        <w:pStyle w:val="Heading2"/>
        <w:widowControl/>
        <w:tabs>
          <w:tab w:val="clear" w:pos="1800"/>
        </w:tabs>
        <w:ind w:firstLine="720" w:end="0"/>
        <w:rPr/>
      </w:pPr>
      <w:r>
        <w:rPr/>
        <w:t>(b)</w:t>
        <w:tab/>
        <w:t>MDEA shall perform the following:</w:t>
      </w:r>
    </w:p>
    <w:p>
      <w:pPr>
        <w:pStyle w:val="Heading2"/>
        <w:widowControl/>
        <w:tabs>
          <w:tab w:val="clear" w:pos="1800"/>
        </w:tabs>
        <w:ind w:firstLine="720" w:start="720" w:end="0"/>
        <w:rPr/>
      </w:pPr>
      <w:r>
        <w:rPr/>
        <w:t>(1)</w:t>
        <w:tab/>
        <w:t>Operate and maintain the Facilities in accordance with Prudent Operating Practices and in accordance with the terms of this Agreement.</w:t>
      </w:r>
    </w:p>
    <w:p>
      <w:pPr>
        <w:pStyle w:val="Heading2"/>
        <w:widowControl/>
        <w:tabs>
          <w:tab w:val="clear" w:pos="1800"/>
        </w:tabs>
        <w:ind w:firstLine="720" w:start="720" w:end="0"/>
        <w:rPr/>
      </w:pPr>
      <w:r>
        <w:rPr/>
        <w:t>(2)</w:t>
        <w:tab/>
        <w:t>Provide EPMI with reasonably sufficient and adequate notice concerning the Scheduled Outages, Maintenance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Maintain the Financial Security required under this Agreement. [need to define]</w:t>
      </w:r>
    </w:p>
    <w:p>
      <w:pPr>
        <w:pStyle w:val="Heading2"/>
        <w:widowControl/>
        <w:tabs>
          <w:tab w:val="clear" w:pos="1800"/>
        </w:tabs>
        <w:ind w:firstLine="720" w:start="720" w:end="0"/>
        <w:rPr/>
      </w:pPr>
      <w:r>
        <w:rPr/>
        <w:t>(4)</w:t>
        <w:tab/>
        <w:t>Designate a responsible person to act as Energy Coordinator for MDEA under this Agreement, and two additional back up Energy Coordinators.</w:t>
      </w:r>
    </w:p>
    <w:p>
      <w:pPr>
        <w:pStyle w:val="Heading2"/>
        <w:widowControl/>
        <w:tabs>
          <w:tab w:val="clear" w:pos="1800"/>
        </w:tabs>
        <w:ind w:firstLine="720" w:start="720" w:end="0"/>
        <w:rPr/>
      </w:pPr>
      <w:r>
        <w:rPr/>
        <w:t>(5)</w:t>
        <w:tab/>
        <w:t>Sell to EPMI Products under the MPPSA in Back-to-Back Transactions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s>
        <w:ind w:firstLine="720" w:start="720" w:end="0"/>
        <w:rPr/>
      </w:pPr>
      <w:r>
        <w:rPr/>
        <w:t>(c)</w:t>
        <w:tab/>
        <w:t>As of the Effective Date, Clarksdale, Yazoo City and MDEA are members of SPP, and Entergy is a member of SERC.  It is comtemplated that Entergy may leave SERC and joint SPP or some other NERC region.  It is further contemplated that these NERC regions may form new RTO’s.  The Parties agree to cooperate to achieve compliance required under such projected system changes while preserving the essential economic purposes of this Agreement.</w:t>
      </w:r>
    </w:p>
    <w:p>
      <w:pPr>
        <w:pStyle w:val="Heading2"/>
        <w:tabs>
          <w:tab w:val="clear" w:pos="1800"/>
        </w:tabs>
        <w:ind w:hanging="0" w:end="0"/>
        <w:rPr>
          <w:b/>
        </w:rPr>
      </w:pPr>
      <w:r>
        <w:rPr>
          <w:b/>
        </w:rPr>
        <w:t>4.</w:t>
        <w:tab/>
        <w:t>Marketing Committee</w:t>
      </w:r>
    </w:p>
    <w:p>
      <w:pPr>
        <w:pStyle w:val="Heading2"/>
        <w:widowControl/>
        <w:tabs>
          <w:tab w:val="clear" w:pos="1800"/>
        </w:tabs>
        <w:ind w:firstLine="720" w:end="0"/>
        <w:rPr/>
      </w:pPr>
      <w:r>
        <w:rPr/>
        <w:t>(a)</w:t>
        <w:tab/>
        <w:t xml:space="preserve">A Marketing Committee shall be established to create, approve, review and change, modify, or amend the Trading and Risk Policy and Marketing Strategy from time to time during the Term of this Agreement. The Marketing Committee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w:t>
      </w:r>
    </w:p>
    <w:p>
      <w:pPr>
        <w:pStyle w:val="Heading2"/>
        <w:widowControl/>
        <w:tabs>
          <w:tab w:val="clear" w:pos="1800"/>
        </w:tabs>
        <w:ind w:firstLine="720" w:end="0"/>
        <w:rPr/>
      </w:pPr>
      <w:r>
        <w:rPr/>
        <w:t>(b)</w:t>
        <w:tab/>
        <w:t>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  MDEA shall bear all market price and delivery risk, including unit contingent risk.</w:t>
      </w:r>
    </w:p>
    <w:p>
      <w:pPr>
        <w:pStyle w:val="Heading2"/>
        <w:widowControl/>
        <w:tabs>
          <w:tab w:val="clear" w:pos="1800"/>
        </w:tabs>
        <w:ind w:hanging="0" w:end="0"/>
        <w:rPr/>
      </w:pPr>
      <w:r>
        <w:rPr/>
      </w:r>
    </w:p>
    <w:p>
      <w:pPr>
        <w:pStyle w:val="Heading2"/>
        <w:keepNext w:val="true"/>
        <w:keepLines/>
        <w:widowControl/>
        <w:tabs>
          <w:tab w:val="clear" w:pos="1800"/>
        </w:tabs>
        <w:ind w:hanging="0" w:end="0"/>
        <w:rPr>
          <w:b/>
        </w:rPr>
      </w:pPr>
      <w:r>
        <w:rPr>
          <w:b/>
        </w:rPr>
        <w:t>5.</w:t>
        <w:tab/>
        <w:t>Availability of Products; Metering</w:t>
      </w:r>
    </w:p>
    <w:p>
      <w:pPr>
        <w:pStyle w:val="Normal"/>
        <w:ind w:firstLine="720" w:end="0"/>
        <w:rPr/>
      </w:pPr>
      <w:r>
        <w:rPr/>
        <w:t>(a)</w:t>
        <w:tab/>
        <w:t>MDEA agrees to make Products available to EPMI, and EPMI agrees to market Products from the Facilities using Prudent Marketing Practices to be sold by EPMI in Back-to-Back Transactions at not less than the Minimum Product Price or the agreed to product price, as appropriate.  Risk of loss and all price and unit contingency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agreed to product price or Minimum Product Price  and EPMI shall correspondingly sell the Product to the third party at the Market Price.  In an EPMI Transaction, MDEA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s generally applicable credit policies used in credit-risk management for and on behalf of EPMI; (iii) EPMI is unable to agree to terms of the Back-to-Back Transaction in EPMI’s sole discretion, or (iv) if MDEA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(b)</w:t>
        <w:tab/>
        <w:t xml:space="preserve">MDEA shall be responsible for making the Products available to EPMI at the Delivery Point, and EPMI shall make all arrangements, including transmission arrangements, necessary to deliver (on behalf of MDEA) the Products to the third party at  any Delivery Point under a Back-to-Back Transaction with such third party or EPMI Transaction.  Any Costs or other expenses incurred by EPMI pursuant to the foregoing provision shall be considered costs in the Profit and Savings calculation. </w:t>
      </w:r>
    </w:p>
    <w:p>
      <w:pPr>
        <w:pStyle w:val="Heading2"/>
        <w:widowControl/>
        <w:tabs>
          <w:tab w:val="clear" w:pos="1800"/>
        </w:tabs>
        <w:ind w:firstLine="720" w:end="0"/>
        <w:rPr/>
      </w:pPr>
      <w:r>
        <w:rPr/>
        <w:t>(c)</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any associated confirmation for the transaction, if any..</w:t>
      </w:r>
    </w:p>
    <w:p>
      <w:pPr>
        <w:pStyle w:val="Heading1"/>
        <w:widowControl/>
        <w:tabs>
          <w:tab w:val="clear" w:pos="360"/>
        </w:tabs>
        <w:ind w:hanging="0" w:start="0"/>
        <w:rPr>
          <w:b/>
        </w:rPr>
      </w:pPr>
      <w:r>
        <w:rPr>
          <w:b/>
        </w:rPr>
        <w:t>6.</w:t>
        <w:tab/>
        <w:t>Marketing Products to Third Parties</w:t>
      </w:r>
    </w:p>
    <w:p>
      <w:pPr>
        <w:pStyle w:val="Heading2"/>
        <w:widowControl/>
        <w:tabs>
          <w:tab w:val="clear" w:pos="1800"/>
        </w:tabs>
        <w:ind w:firstLine="720" w:end="0"/>
        <w:rPr/>
      </w:pPr>
      <w:r>
        <w:rPr/>
        <w:t>(a)</w:t>
        <w:tab/>
        <w:t>In performing the Asset Management Services, EPMI shall use commercially reasonable efforts to market the Products, utilizing Prudent Marketing Practices.</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rPr>
        <w:t>7.</w:t>
      </w:r>
      <w:r>
        <w:rPr/>
        <w:tab/>
      </w:r>
      <w:r>
        <w:rPr>
          <w:b/>
        </w:rPr>
        <w:t>Scheduling and Purchasing of Power</w:t>
      </w:r>
    </w:p>
    <w:p>
      <w:pPr>
        <w:pStyle w:val="Heading2"/>
        <w:widowControl/>
        <w:tabs>
          <w:tab w:val="clear" w:pos="1800"/>
        </w:tabs>
        <w:ind w:firstLine="810" w:start="-90" w:end="0"/>
        <w:rPr/>
      </w:pPr>
      <w:r>
        <w:rPr/>
        <w:t>(a)</w:t>
        <w:tab/>
        <w:t>Each Party shall designate a responsible person to act as Energy Coordinator.  Each party may replace its designated Energy Coordinator but only with the consent of the other party (not to be unreasonably withheld, conditioned or delayed).  In the event such change is not reasonably acceptable, the objecting party shall provide written notice thereof to EPMI (which contains in reasonable particularity, the reason for MDEA’s disapproval) and EPMI shall be afforded a reasonable period of time in which to suggest someone else. Each party shall also designate at least (2) back-up energy coordinators in the same manner as the Energy Coordinator. Both Parties shall diligently provide contact information regarding unavailability or unavailability, and telephone, pager and telecopier information. A control room or hourly desk direct line may serve as a back-up energy coordinator.</w:t>
      </w:r>
    </w:p>
    <w:p>
      <w:pPr>
        <w:pStyle w:val="Heading2"/>
        <w:widowControl/>
        <w:tabs>
          <w:tab w:val="clear" w:pos="1800"/>
        </w:tabs>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pPr>
      <w:r>
        <w:rPr/>
        <w:t>(c)</w:t>
        <w:tab/>
        <w:t xml:space="preserve">EPMI shall make recommendations to MDEA concerning (i) the economic dispatching of the Facilities consistent with the requirements to serve the Native Load (ii) the possible sale of Products, and (iii) the purchase of power from market sources. In addition, EPMI shall schedule, nominate and confirm all Fuel Transactions, in accordance with pre-approved guidelines and subject to MDEA approval (iii) purchase of market resources to serve the Native Load.  </w:t>
      </w:r>
    </w:p>
    <w:p>
      <w:pPr>
        <w:pStyle w:val="Heading2"/>
        <w:widowControl/>
        <w:tabs>
          <w:tab w:val="clear" w:pos="1800"/>
        </w:tabs>
        <w:ind w:firstLine="810" w:start="-90" w:end="0"/>
        <w:rPr/>
      </w:pPr>
      <w:r>
        <w:rPr/>
        <w:t>(d)</w:t>
        <w:tab/>
        <w:t>Each day, EPMI shall provide a projection of the next day’s Native Load, and project the need for gas, fuel oil and power.</w:t>
      </w:r>
    </w:p>
    <w:p>
      <w:pPr>
        <w:pStyle w:val="Heading2"/>
        <w:widowControl/>
        <w:tabs>
          <w:tab w:val="clear" w:pos="1800"/>
        </w:tabs>
        <w:ind w:firstLine="720" w:end="0"/>
        <w:rPr/>
      </w:pPr>
      <w:r>
        <w:rPr/>
        <w:t>(e)</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(f)</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pPr>
      <w:r>
        <w:rPr/>
        <w:t>(g)</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(h)</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8.</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as specified in Exhibit [].  EPMI shall provide such reports electronically in formats and software versions agreed to among the parties.  (b)</w:t>
        <w:tab/>
        <w:t xml:space="preserve">EPMI shall provide to MDEA sufficient information regarding each Back-to-Back Transaction or EPMI Transaction to permit MDEA to determine the Market Price, the amount of Products sold or bought, the Delivery Point or Receipt Point, the duration,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all daily nominations, confirmations and other information for Fuel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rPr>
        <w:t>9.</w:t>
        <w:tab/>
        <w:t xml:space="preserve">Performance Standards </w:t>
      </w:r>
      <w:r>
        <w:rPr/>
        <w:t xml:space="preserve">  </w:t>
      </w:r>
    </w:p>
    <w:p>
      <w:pPr>
        <w:pStyle w:val="Heading2"/>
        <w:widowControl/>
        <w:tabs>
          <w:tab w:val="clear" w:pos="1800"/>
        </w:tabs>
        <w:ind w:firstLine="720" w:end="0"/>
        <w:rPr/>
      </w:pPr>
      <w:r>
        <w:rPr/>
        <w:t>(a)</w:t>
        <w:tab/>
        <w:t>The following standards shall apply to EPMI in the fulfillment of its obligations under this Agreement:</w:t>
      </w:r>
    </w:p>
    <w:p>
      <w:pPr>
        <w:pStyle w:val="Heading2"/>
        <w:widowControl/>
        <w:ind w:firstLine="720" w:start="720" w:end="0"/>
        <w:rPr/>
      </w:pPr>
      <w:r>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pPr>
      <w:r>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(b)</w:t>
        <w:tab/>
        <w:t>The following standards shall apply to MDEA in the fulfillment of its obligations under this Agreement:</w:t>
      </w:r>
    </w:p>
    <w:p>
      <w:pPr>
        <w:pStyle w:val="Heading2"/>
        <w:widowControl/>
        <w:ind w:firstLine="720" w:start="720" w:end="0"/>
        <w:rPr/>
      </w:pPr>
      <w:r>
        <w:rPr/>
        <w:t>(1)</w:t>
        <w:tab/>
        <w:tab/>
        <w:t>MDEA shall provide a historical and projected “availability factor” which shall be updated monthly. Current availability factors are reflected in [Exhibit 1, Facilities].  MDA will use its best efforts in accordance with prudent utility practice to maintain the availability of the Facilities.</w:t>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obligatedto operate the Facilities using Prudent Operating Practices.</w:t>
      </w:r>
    </w:p>
    <w:p>
      <w:pPr>
        <w:pStyle w:val="Heading2"/>
        <w:widowControl/>
        <w:tabs>
          <w:tab w:val="clear" w:pos="1800"/>
        </w:tabs>
        <w:ind w:firstLine="720" w:start="720" w:end="0"/>
        <w:rPr/>
      </w:pPr>
      <w:r>
        <w:rPr/>
      </w:r>
    </w:p>
    <w:p>
      <w:pPr>
        <w:pStyle w:val="Heading2"/>
        <w:widowControl/>
        <w:tabs>
          <w:tab w:val="clear" w:pos="1800"/>
        </w:tabs>
        <w:ind w:hanging="0" w:end="0"/>
        <w:rPr/>
      </w:pPr>
      <w:r>
        <w:rPr>
          <w:b/>
        </w:rPr>
        <w:t>10.</w:t>
      </w:r>
      <w:r>
        <w:rPr/>
        <w:tab/>
      </w:r>
      <w:r>
        <w:rPr>
          <w:b/>
        </w:rPr>
        <w:t>Delivery Point and Title</w:t>
      </w:r>
    </w:p>
    <w:p>
      <w:pPr>
        <w:pStyle w:val="Heading2"/>
        <w:widowControl/>
        <w:tabs>
          <w:tab w:val="clear" w:pos="1800"/>
        </w:tabs>
        <w:ind w:firstLine="720" w:end="0"/>
        <w:rPr/>
      </w:pPr>
      <w:r>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8"/>
        </w:numPr>
        <w:tabs>
          <w:tab w:val="clear" w:pos="1800"/>
        </w:tabs>
        <w:ind w:firstLine="720" w:start="0" w:end="0"/>
        <w:rPr/>
      </w:pPr>
      <w:r>
        <w:rPr/>
        <w:t>Title to the Products bought or sold under this Agreement under the MPPSA shall be governed by the terms of the MPPSA.</w:t>
      </w:r>
    </w:p>
    <w:p>
      <w:pPr>
        <w:pStyle w:val="Heading1"/>
        <w:keepNext w:val="true"/>
        <w:keepLines/>
        <w:widowControl/>
        <w:tabs>
          <w:tab w:val="clear" w:pos="360"/>
        </w:tabs>
        <w:ind w:hanging="0" w:start="0"/>
        <w:rPr>
          <w:b/>
        </w:rPr>
      </w:pPr>
      <w:r>
        <w:rPr>
          <w:b/>
        </w:rPr>
        <w:t>11.</w:t>
        <w:tab/>
        <w:t>Fuel Management Services</w:t>
      </w:r>
    </w:p>
    <w:p>
      <w:pPr>
        <w:pStyle w:val="Heading1"/>
        <w:widowControl/>
        <w:numPr>
          <w:ilvl w:val="0"/>
          <w:numId w:val="7"/>
        </w:numPr>
        <w:tabs>
          <w:tab w:val="clear" w:pos="360"/>
        </w:tabs>
        <w:ind w:firstLine="720" w:start="0" w:end="0"/>
        <w:rPr/>
      </w:pPr>
      <w:r>
        <w:rPr/>
        <w:t>In connection with the Asset Management Services, MDEA hereby appoints EPMI as the Fuel Manager (Fuel Manager) for all Fuel Transactions for the Facilities and agrees to execute any and all documentation reasonably necessary to evidence the same.  EPMI shall arrange, on behalf of MDEA, and assist in negotiating the acquisition and delivery of all natural gas, together with all required transportation services, necessary for operation of the Facilities; provided, however, that EPMI shall not  be deemed MDEA’s agent in connection therewith or be required to provide credit support in connection therewith, other than for EPMI transactions. In addition, MDEA shall be responsible for entering into trading agreements or other agreements pursuant to which EPMI can purchase fuel on behalf of MDEA. In addition, MDEA shall enter into a MGPSA on terms agreeable to all parties.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 Transactions are in effect, under which MDEA may be obligated to purchase and transport certain quantities of natural gas. Current MDEA fuel contracts are listed on Exhibit [5]. Commencing on the Effective Date, EPMI shall manage and administer the Fuel Transactions. EPMI will manage Fuel Transactions in a commercially reasonable manner. MDEA shall bear all risk associated with third party fuel or transportion providers failure to perform or pay.  EPMI shall use commercially reasonable efforts to mitigate such risk for MDEA.  MDEA will be responsible for the purchase, transportation and storage of any fuel oil, and shall maintain an adequate supply to meet projected needs.</w:t>
      </w:r>
    </w:p>
    <w:p>
      <w:pPr>
        <w:pStyle w:val="Heading1"/>
        <w:widowControl/>
        <w:numPr>
          <w:ilvl w:val="0"/>
          <w:numId w:val="7"/>
        </w:numPr>
        <w:tabs>
          <w:tab w:val="clear" w:pos="360"/>
        </w:tabs>
        <w:ind w:firstLine="720" w:start="0" w:end="0"/>
        <w:rPr/>
      </w:pPr>
      <w:r>
        <w:rPr/>
        <w:t xml:space="preserve">EPMI agrees to provide the necessary, fundamental market information (specifically excluding any information which EPMI believes is confidential or otherwise proprietary) reasonably required for MDEA to make informed economic decisions concerning Fuel Transactions.  The Marketing Committee shall decide the procedures necessary for determining the appropriate natural gas acquisition strategy taking into consideration long term, intermediate term and short-term natural gas purchases and transportation. </w:t>
      </w:r>
    </w:p>
    <w:p>
      <w:pPr>
        <w:pStyle w:val="Heading1"/>
        <w:widowControl/>
        <w:tabs>
          <w:tab w:val="clear" w:pos="360"/>
        </w:tabs>
        <w:ind w:hanging="0" w:start="0"/>
        <w:rPr>
          <w:b/>
        </w:rPr>
      </w:pPr>
      <w:r>
        <w:rPr>
          <w:b/>
        </w:rPr>
      </w:r>
    </w:p>
    <w:p>
      <w:pPr>
        <w:pStyle w:val="Heading1"/>
        <w:widowControl/>
        <w:tabs>
          <w:tab w:val="clear" w:pos="360"/>
        </w:tabs>
        <w:ind w:hanging="0" w:start="0"/>
        <w:rPr>
          <w:b/>
        </w:rPr>
      </w:pPr>
      <w:r>
        <w:rPr>
          <w:b/>
        </w:rPr>
        <w:t>12.</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13.</w:t>
        <w:tab/>
        <w:t>Payment and Fees</w:t>
      </w:r>
    </w:p>
    <w:p>
      <w:pPr>
        <w:pStyle w:val="Heading2"/>
        <w:widowControl/>
        <w:tabs>
          <w:tab w:val="clear" w:pos="1800"/>
        </w:tabs>
        <w:ind w:firstLine="720" w:end="0"/>
        <w:rPr/>
      </w:pPr>
      <w:r>
        <w:rPr/>
        <w:t>(a)</w:t>
        <w:tab/>
        <w:t>EPMI shall submit to MDEA, unless otherwise agreed by the Parties, on or before the tenth (10th) day of each calendar month, a statement detailing all applicable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otherwise payable by EPMI, MDEA shall (within two (2) Business Days) following receipt of a written invoice from EPMI, remit to EPMI the amount of funds necessary to make full payment of the Costs.  For avoidance of doubt, MDEA shall ultimately be responsible for all Costs and shall be obligated to reimburse EPMI for any Costs  that it incurs or otherwise pays.  Payment for transactions under the MPPSA or MGPSA shall be governed by those agreements.</w:t>
      </w:r>
    </w:p>
    <w:p>
      <w:pPr>
        <w:pStyle w:val="Heading2"/>
        <w:widowControl/>
        <w:tabs>
          <w:tab w:val="clear" w:pos="1800"/>
        </w:tabs>
        <w:ind w:firstLine="720" w:end="0"/>
        <w:rPr/>
      </w:pPr>
      <w:r>
        <w:rPr/>
        <w:t>(b)</w:t>
        <w:tab/>
        <w:t xml:space="preserve">During the Term of this Agreement, EPMI shall be entitled to a fee for performance as follows: </w:t>
      </w:r>
    </w:p>
    <w:p>
      <w:pPr>
        <w:pStyle w:val="Heading2"/>
        <w:widowControl/>
        <w:tabs>
          <w:tab w:val="clear" w:pos="1800"/>
        </w:tabs>
        <w:ind w:firstLine="720" w:start="720" w:end="0"/>
        <w:rPr/>
      </w:pPr>
      <w:r>
        <w:rPr/>
        <w:t>(1)</w:t>
        <w:tab/>
        <w:t>EPMI shall be paid a minimum monthly fee of ($) Dollars per calendar month for twenty-four (24) months.  For any part month, the monthly amount shall be divided by thirty (30) and multiplied times the number of days in the part month in which this Agreement was in effect. The Monthly Fee shall be comprised of an Incentive Fee and a fee for the sale of off peak power as described below. Should the Scheduling Equipment Costs exceed [$], the minimum fee will be adjusted proportionately.</w:t>
      </w:r>
    </w:p>
    <w:p>
      <w:pPr>
        <w:pStyle w:val="Heading2"/>
        <w:widowControl/>
        <w:tabs>
          <w:tab w:val="clear" w:pos="1800"/>
        </w:tabs>
        <w:ind w:firstLine="720" w:start="720" w:end="0"/>
        <w:rPr/>
      </w:pPr>
      <w:r>
        <w:rPr/>
        <w:t>(2)</w:t>
        <w:tab/>
        <w:t>EPMI shall be paid an Incentive Fee consisting of Forty Percent (40%) of  the Profit and Savings, calculated as indicated in Exhibit [].</w:t>
      </w:r>
    </w:p>
    <w:p>
      <w:pPr>
        <w:pStyle w:val="Heading2"/>
        <w:widowControl/>
        <w:tabs>
          <w:tab w:val="clear" w:pos="1800"/>
          <w:tab w:val="left" w:pos="0" w:leader="none"/>
        </w:tabs>
        <w:ind w:firstLine="720" w:start="720" w:end="0"/>
        <w:rPr/>
      </w:pPr>
      <w:r>
        <w:rPr/>
        <w:t>(3)</w:t>
        <w:tab/>
        <w:t xml:space="preserve"> EPMI shall be paid $1/MWhr above the delivered price for purchases of Off-Peak Power.  These amounts shall not be included in the calculation of Profit and Savings.</w:t>
      </w:r>
    </w:p>
    <w:p>
      <w:pPr>
        <w:pStyle w:val="Heading2"/>
        <w:widowControl/>
        <w:tabs>
          <w:tab w:val="clear" w:pos="1800"/>
        </w:tabs>
        <w:ind w:firstLine="72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pPr>
      <w:r>
        <w:rPr/>
        <w:t>Each Party shall have a general right of set-off with respect to all amounts due and owing by each Party to the other Party under this Agreement or any other agreement between the Parties, including without limitation, the MPPSA and the MGPSA.</w:t>
      </w:r>
    </w:p>
    <w:p>
      <w:pPr>
        <w:pStyle w:val="Heading1"/>
        <w:widowControl/>
        <w:tabs>
          <w:tab w:val="clear" w:pos="360"/>
        </w:tabs>
        <w:ind w:hanging="0" w:start="0"/>
        <w:rPr>
          <w:b/>
        </w:rPr>
      </w:pPr>
      <w:r>
        <w:rPr>
          <w:b/>
        </w:rPr>
        <w:t>14.</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EPMI or MDEA fails to meet the performance standards set forth in Section [];</w:t>
      </w:r>
    </w:p>
    <w:p>
      <w:pPr>
        <w:pStyle w:val="Heading2"/>
        <w:widowControl/>
        <w:tabs>
          <w:tab w:val="clear" w:pos="1800"/>
        </w:tabs>
        <w:ind w:firstLine="720" w:start="720" w:end="0"/>
        <w:rPr/>
      </w:pPr>
      <w:r>
        <w:rPr/>
        <w:t>(2)</w:t>
        <w:tab/>
        <w:t>EPMI or MDEA fails to keep and maintain the Financial Security required under this Agreement;</w:t>
      </w:r>
    </w:p>
    <w:p>
      <w:pPr>
        <w:pStyle w:val="Heading3"/>
        <w:widowControl/>
        <w:tabs>
          <w:tab w:val="clear" w:pos="2520"/>
        </w:tabs>
        <w:ind w:start="720" w:end="0"/>
        <w:rPr/>
      </w:pPr>
      <w:r>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(4)</w:t>
        <w:tab/>
        <w:t xml:space="preserve">The filing of an involuntary bankruptcy petition against either Party;  </w:t>
      </w:r>
    </w:p>
    <w:p>
      <w:pPr>
        <w:pStyle w:val="Heading3"/>
        <w:widowControl/>
        <w:tabs>
          <w:tab w:val="clear" w:pos="2520"/>
        </w:tabs>
        <w:ind w:start="720" w:end="0"/>
        <w:rPr/>
      </w:pPr>
      <w:r>
        <w:rPr/>
        <w:t>(5)</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(8)</w:t>
        <w:tab/>
        <w:t xml:space="preserve">The making of a materially incorrect or misleading representation or failure to maintain any warranty under this Agreement; </w:t>
      </w:r>
    </w:p>
    <w:p>
      <w:pPr>
        <w:pStyle w:val="Normal"/>
        <w:ind w:firstLine="720" w:start="720" w:end="0"/>
        <w:rPr/>
      </w:pPr>
      <w:r>
        <w:rPr/>
        <w:t xml:space="preserve">(9) </w:t>
        <w:tab/>
        <w:t>The breach of any obligation on the part of either Party under the MPPSA, and after due notice under such agreement, the breach remains uncured; and</w:t>
      </w:r>
    </w:p>
    <w:p>
      <w:pPr>
        <w:pStyle w:val="Normal"/>
        <w:ind w:firstLine="720" w:start="720" w:end="0"/>
        <w:rPr/>
      </w:pPr>
      <w:r>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10"/>
        </w:numPr>
        <w:tabs>
          <w:tab w:val="clear" w:pos="3240"/>
        </w:tabs>
        <w:ind w:firstLine="720" w:start="1440" w:end="0"/>
        <w:rPr/>
      </w:pPr>
      <w:r>
        <w:rPr/>
        <w:t>Withhold or suspend its obligations under this Agreement; or</w:t>
      </w:r>
    </w:p>
    <w:p>
      <w:pPr>
        <w:pStyle w:val="Normal"/>
        <w:numPr>
          <w:ilvl w:val="0"/>
          <w:numId w:val="10"/>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9"/>
        </w:numPr>
        <w:tabs>
          <w:tab w:val="clear" w:pos="3240"/>
        </w:tabs>
        <w:ind w:firstLine="720" w:start="1440" w:end="0"/>
        <w:rPr/>
      </w:pPr>
      <w:r>
        <w:rPr/>
        <w:t>Terminate this Agreement under Section 18; or</w:t>
      </w:r>
    </w:p>
    <w:p>
      <w:pPr>
        <w:pStyle w:val="Normal"/>
        <w:numPr>
          <w:ilvl w:val="0"/>
          <w:numId w:val="9"/>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15.</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rPr>
      </w:pPr>
      <w:r>
        <w:rPr>
          <w:b/>
        </w:rPr>
      </w:r>
    </w:p>
    <w:p>
      <w:pPr>
        <w:pStyle w:val="Heading1"/>
        <w:keepNext w:val="true"/>
        <w:keepLines/>
        <w:widowControl/>
        <w:tabs>
          <w:tab w:val="clear" w:pos="360"/>
        </w:tabs>
        <w:ind w:hanging="0" w:start="0"/>
        <w:rPr>
          <w:b/>
        </w:rPr>
      </w:pPr>
      <w:r>
        <w:rPr>
          <w:b/>
        </w:rPr>
        <w:t>16.</w:t>
        <w:tab/>
        <w:t>Indemnification; Limitation on Damages [to be conformed to Miss. law]</w:t>
      </w:r>
    </w:p>
    <w:p>
      <w:pPr>
        <w:pStyle w:val="Heading2"/>
        <w:widowControl/>
        <w:numPr>
          <w:ilvl w:val="0"/>
          <w:numId w:val="5"/>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5"/>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rPr>
      </w:pPr>
      <w:r>
        <w:rPr>
          <w:b/>
        </w:rPr>
        <w:t>17.</w:t>
        <w:tab/>
        <w:t>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18.</w:t>
        <w:tab/>
        <w:t>Dispute Resolution [to be conformed to Miss law]</w:t>
      </w:r>
    </w:p>
    <w:p>
      <w:pPr>
        <w:pStyle w:val="Heading2"/>
        <w:widowControl/>
        <w:tabs>
          <w:tab w:val="clear" w:pos="1800"/>
        </w:tabs>
        <w:ind w:firstLine="720" w:end="0"/>
        <w:rPr/>
      </w:pPr>
      <w:r>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19.</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20.</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21.</w:t>
        <w:tab/>
        <w:t xml:space="preserve">Severability </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22.</w:t>
        <w:tab/>
        <w:t>Confidentiality  [to be conformed to Miss law]</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23.</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 xml:space="preserve">Telephone:  </w:t>
      </w:r>
    </w:p>
    <w:p>
      <w:pPr>
        <w:pStyle w:val="Normal"/>
        <w:widowControl/>
        <w:spacing w:before="0" w:after="0"/>
        <w:ind w:start="2160" w:end="0"/>
        <w:rPr/>
      </w:pPr>
      <w:r>
        <w:rPr/>
        <w:t xml:space="preserve">Facsimile:  </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[need to add Cities]</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24.</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25.</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26.</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27.</w:t>
        <w:tab/>
        <w:t>Miscellaneous</w:t>
      </w:r>
    </w:p>
    <w:p>
      <w:pPr>
        <w:pStyle w:val="Heading1"/>
        <w:widowControl/>
        <w:tabs>
          <w:tab w:val="clear" w:pos="360"/>
        </w:tabs>
        <w:ind w:hanging="0" w:start="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rPr>
          <w:b/>
        </w:rPr>
      </w:pPr>
      <w:r>
        <w:rPr>
          <w:b/>
        </w:rPr>
        <w:t>28. Relationship of the Parties</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spacing w:before="120" w:after="120"/>
        <w:jc w:val="center"/>
        <w:rPr/>
      </w:pPr>
      <w:r>
        <w:rPr/>
        <w:t>Need Yazoo City and Clarksdale signature lines</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28</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MDEA_ESMA__Mann4_19Draft_.doc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
      <w:numFmt w:val="decimal"/>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2"/>
      <w:numFmt w:val="lowerLetter"/>
      <w:lvlText w:val="(%1)"/>
      <w:lvlJc w:val="start"/>
      <w:pPr>
        <w:tabs>
          <w:tab w:val="num" w:pos="1800"/>
        </w:tabs>
        <w:ind w:start="1800" w:hanging="360"/>
      </w:pPr>
      <w:rPr/>
    </w:lvl>
  </w:abstractNum>
  <w:abstractNum w:abstractNumId="9">
    <w:lvl w:ilvl="0">
      <w:start w:val="1"/>
      <w:numFmt w:val="upperLetter"/>
      <w:lvlText w:val="(%1)"/>
      <w:lvlJc w:val="start"/>
      <w:pPr>
        <w:tabs>
          <w:tab w:val="num" w:pos="3270"/>
        </w:tabs>
        <w:ind w:start="3270" w:hanging="390"/>
      </w:pPr>
      <w:rPr/>
    </w:lvl>
  </w:abstractNum>
  <w:abstractNum w:abstractNumId="10">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Times New Roman Bold" w:hAnsi="Times New Roman Bold" w:cs="BauerBodoni-Bold;Arial Rounded MT Bold"/>
      <w:b/>
      <w:i w:val="false"/>
      <w:sz w:val="24"/>
    </w:rPr>
  </w:style>
  <w:style w:type="character" w:styleId="WW8Num68z1">
    <w:name w:val="WW8Num68z1"/>
    <w:qFormat/>
    <w:rPr>
      <w:rFonts w:ascii="Times New Roman" w:hAnsi="Times New Roman" w:cs="Times New Roman"/>
      <w:b w:val="false"/>
      <w:i w:val="false"/>
      <w:sz w:val="24"/>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b w:val="false"/>
      <w:i w:val="false"/>
    </w:rPr>
  </w:style>
  <w:style w:type="character" w:styleId="WW8Num77z2">
    <w:name w:val="WW8Num77z2"/>
    <w:qFormat/>
    <w:rPr/>
  </w:style>
  <w:style w:type="character" w:styleId="WW8Num78z0">
    <w:name w:val="WW8Num78z0"/>
    <w:qFormat/>
    <w:rPr/>
  </w:style>
  <w:style w:type="character" w:styleId="WW8Num79z0">
    <w:name w:val="WW8Num79z0"/>
    <w:qFormat/>
    <w:rPr>
      <w:b w:val="false"/>
      <w:i w:val="false"/>
    </w:rPr>
  </w:style>
  <w:style w:type="character" w:styleId="WW8Num79z2">
    <w:name w:val="WW8Num79z2"/>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4z1">
    <w:name w:val="WW8Num84z1"/>
    <w:qFormat/>
    <w:rPr>
      <w:b w:val="false"/>
      <w:i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7z1">
    <w:name w:val="WW8Num87z1"/>
    <w:qFormat/>
    <w:rPr>
      <w:rFonts w:ascii="Times" w:hAnsi="Times" w:cs="Times"/>
      <w:b/>
      <w:i w:val="false"/>
      <w:sz w:val="24"/>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val="false"/>
      <w:i w:val="false"/>
    </w:rPr>
  </w:style>
  <w:style w:type="character" w:styleId="WW8Num113z1">
    <w:name w:val="WW8Num113z1"/>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Times New Roman" w:hAnsi="Times New Roman" w:cs="Times New Roman"/>
      <w:b w:val="false"/>
      <w:i w:val="false"/>
      <w:sz w:val="24"/>
    </w:rPr>
  </w:style>
  <w:style w:type="character" w:styleId="WW8Num118z1">
    <w:name w:val="WW8Num118z1"/>
    <w:qFormat/>
    <w:rPr/>
  </w:style>
  <w:style w:type="character" w:styleId="WW8Num119z0">
    <w:name w:val="WW8Num119z0"/>
    <w:qFormat/>
    <w:rPr>
      <w:b w:val="false"/>
      <w:i w:val="false"/>
    </w:rPr>
  </w:style>
  <w:style w:type="character" w:styleId="WW8Num119z2">
    <w:name w:val="WW8Num119z2"/>
    <w:qFormat/>
    <w:rPr/>
  </w:style>
  <w:style w:type="character" w:styleId="WW8Num120z0">
    <w:name w:val="WW8Num120z0"/>
    <w:qFormat/>
    <w:rPr>
      <w:b w:val="false"/>
      <w:i w:val="false"/>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7z1">
    <w:name w:val="WW8Num127z1"/>
    <w:qFormat/>
    <w:rPr>
      <w:b w:val="false"/>
      <w:i w:val="false"/>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caps/>
      <w:strike w:val="false"/>
      <w:dstrike w:val="false"/>
      <w:outline w:val="false"/>
      <w:shadow w:val="false"/>
      <w:vanish w:val="false"/>
      <w:color w:val="auto"/>
      <w:position w:val="0"/>
      <w:sz w:val="24"/>
      <w:u w:val="none"/>
      <w:vertAlign w:val="baseline"/>
    </w:rPr>
  </w:style>
  <w:style w:type="character" w:styleId="WW8Num135z1">
    <w:name w:val="WW8Num13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39z1">
    <w:name w:val="WW8Num139z1"/>
    <w:qFormat/>
    <w:rPr>
      <w:b w:val="false"/>
      <w:i w:val="false"/>
    </w:rPr>
  </w:style>
  <w:style w:type="character" w:styleId="WW8Num140z0">
    <w:name w:val="WW8Num140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style>
  <w:style w:type="character" w:styleId="WW8Num147z0">
    <w:name w:val="WW8Num147z0"/>
    <w:qFormat/>
    <w:rPr>
      <w:b w:val="false"/>
    </w:rPr>
  </w:style>
  <w:style w:type="character" w:styleId="WW8Num149z0">
    <w:name w:val="WW8Num149z0"/>
    <w:qFormat/>
    <w:rPr/>
  </w:style>
  <w:style w:type="character" w:styleId="WW8Num150z0">
    <w:name w:val="WW8Num150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7z1">
    <w:name w:val="WW8Num157z1"/>
    <w:qFormat/>
    <w:rPr>
      <w:rFonts w:ascii="Times New Roman" w:hAnsi="Times New Roman" w:cs="Times New Roman"/>
      <w:sz w:val="24"/>
    </w:rPr>
  </w:style>
  <w:style w:type="character" w:styleId="WW8Num158z0">
    <w:name w:val="WW8Num158z0"/>
    <w:qFormat/>
    <w:rPr/>
  </w:style>
  <w:style w:type="character" w:styleId="WW8Num158z1">
    <w:name w:val="WW8Num158z1"/>
    <w:qFormat/>
    <w:rPr>
      <w:b w:val="false"/>
      <w:i w:val="false"/>
    </w:rPr>
  </w:style>
  <w:style w:type="character" w:styleId="WW8Num159z0">
    <w:name w:val="WW8Num159z0"/>
    <w:qFormat/>
    <w:rPr>
      <w:rFonts w:ascii="Times New Roman" w:hAnsi="Times New Roman" w:cs="Times New Roman"/>
      <w:b w:val="false"/>
      <w:i w:val="false"/>
      <w:sz w:val="24"/>
    </w:rPr>
  </w:style>
  <w:style w:type="character" w:styleId="WW8Num159z1">
    <w:name w:val="WW8Num159z1"/>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style>
  <w:style w:type="character" w:styleId="WW8Num162z1">
    <w:name w:val="WW8Num162z1"/>
    <w:qFormat/>
    <w:rPr>
      <w:b w:val="false"/>
      <w:i w:val="false"/>
    </w:rPr>
  </w:style>
  <w:style w:type="character" w:styleId="WW8Num163z0">
    <w:name w:val="WW8Num163z0"/>
    <w:qFormat/>
    <w:rPr>
      <w:rFonts w:ascii="Times New Roman" w:hAnsi="Times New Roman" w:cs="Times New Roman"/>
      <w:b w:val="false"/>
      <w:i w:val="false"/>
      <w:sz w:val="24"/>
      <w:u w:val="none"/>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u w:val="none"/>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u w:val="none"/>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Times New Roman" w:hAnsi="Times New Roman" w:cs="Times New Roman"/>
      <w:b/>
      <w:i w:val="false"/>
      <w:caps/>
      <w:sz w:val="24"/>
    </w:rPr>
  </w:style>
  <w:style w:type="character" w:styleId="WW8Num193z1">
    <w:name w:val="WW8Num193z1"/>
    <w:qFormat/>
    <w:rPr>
      <w:rFonts w:ascii="Times New Roman" w:hAnsi="Times New Roman" w:cs="Times New Roman"/>
      <w:b w:val="false"/>
      <w:i w:val="false"/>
      <w:sz w:val="24"/>
      <w:u w:val="none"/>
    </w:rPr>
  </w:style>
  <w:style w:type="character" w:styleId="WW8Num193z2">
    <w:name w:val="WW8Num193z2"/>
    <w:qFormat/>
    <w:rPr>
      <w:rFonts w:ascii="Times New Roman" w:hAnsi="Times New Roman" w:cs="Times New Roman"/>
      <w:b w:val="false"/>
      <w:i w:val="false"/>
      <w:sz w:val="24"/>
    </w:rPr>
  </w:style>
  <w:style w:type="character" w:styleId="WW8Num193z5">
    <w:name w:val="WW8Num193z5"/>
    <w:qFormat/>
    <w:rPr>
      <w:rFonts w:ascii="Times New Roman" w:hAnsi="Times New Roman" w:cs="Times New Roman"/>
      <w:b/>
      <w:i w:val="false"/>
      <w:sz w:val="24"/>
      <w:u w:val="none"/>
    </w:rPr>
  </w:style>
  <w:style w:type="character" w:styleId="WW8Num194z0">
    <w:name w:val="WW8Num194z0"/>
    <w:qFormat/>
    <w:rPr/>
  </w:style>
  <w:style w:type="character" w:styleId="WW8Num195z0">
    <w:name w:val="WW8Num195z0"/>
    <w:qFormat/>
    <w:rPr>
      <w:i w:val="false"/>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Times New Roman" w:hAnsi="Times New Roman" w:cs="Times New Roman"/>
      <w:b w:val="false"/>
      <w:i w:val="false"/>
      <w:sz w:val="24"/>
    </w:rPr>
  </w:style>
  <w:style w:type="character" w:styleId="WW8Num217z1">
    <w:name w:val="WW8Num217z1"/>
    <w:qFormat/>
    <w:rPr/>
  </w:style>
  <w:style w:type="character" w:styleId="WW8Num218z0">
    <w:name w:val="WW8Num218z0"/>
    <w:qFormat/>
    <w:rPr>
      <w:rFonts w:ascii="Symbol" w:hAnsi="Symbol" w:cs="Symbol"/>
    </w:rPr>
  </w:style>
  <w:style w:type="character" w:styleId="WW8Num219z0">
    <w:name w:val="WW8Num219z0"/>
    <w:qFormat/>
    <w:rPr/>
  </w:style>
  <w:style w:type="character" w:styleId="WW8Num219z1">
    <w:name w:val="WW8Num219z1"/>
    <w:qFormat/>
    <w:rPr>
      <w:rFonts w:ascii="Times New Roman" w:hAnsi="Times New Roman" w:cs="Times New Roman"/>
      <w:sz w:val="24"/>
    </w:rPr>
  </w:style>
  <w:style w:type="character" w:styleId="WW8Num220z0">
    <w:name w:val="WW8Num220z0"/>
    <w:qFormat/>
    <w:rPr>
      <w:u w:val="single"/>
    </w:rPr>
  </w:style>
  <w:style w:type="character" w:styleId="WW8Num221z0">
    <w:name w:val="WW8Num221z0"/>
    <w:qFormat/>
    <w:rPr/>
  </w:style>
  <w:style w:type="character" w:styleId="WW8Num222z0">
    <w:name w:val="WW8Num222z0"/>
    <w:qFormat/>
    <w:rPr>
      <w:b w:val="false"/>
      <w:i w:val="false"/>
    </w:rPr>
  </w:style>
  <w:style w:type="character" w:styleId="WW8Num222z2">
    <w:name w:val="WW8Num222z2"/>
    <w:qFormat/>
    <w:rPr/>
  </w:style>
  <w:style w:type="character" w:styleId="WW8Num223z0">
    <w:name w:val="WW8Num223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2z1">
    <w:name w:val="WW8Num232z1"/>
    <w:qFormat/>
    <w:rPr>
      <w:b w:val="false"/>
      <w:i w:val="false"/>
    </w:rPr>
  </w:style>
  <w:style w:type="character" w:styleId="WW8Num233z0">
    <w:name w:val="WW8Num233z0"/>
    <w:qFormat/>
    <w:rPr/>
  </w:style>
  <w:style w:type="character" w:styleId="WW8Num234z0">
    <w:name w:val="WW8Num234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b w:val="false"/>
      <w:u w:val="none"/>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8z0">
    <w:name w:val="WW8Num248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i w:val="false"/>
    </w:rPr>
  </w:style>
  <w:style w:type="character" w:styleId="WW8Num255z2">
    <w:name w:val="WW8Num255z2"/>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6"/>
      </w:numPr>
      <w:ind w:hanging="720" w:start="1440" w:end="0"/>
      <w:outlineLvl w:val="1"/>
    </w:pPr>
    <w:rPr/>
  </w:style>
  <w:style w:type="paragraph" w:styleId="OutlineL3">
    <w:name w:val="Outline_L3"/>
    <w:basedOn w:val="OutlineL2"/>
    <w:next w:val="NumContinue"/>
    <w:qFormat/>
    <w:pPr>
      <w:numPr>
        <w:ilvl w:val="0"/>
        <w:numId w:val="6"/>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6"/>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6"/>
      </w:numPr>
      <w:ind w:hanging="360" w:start="360" w:end="0"/>
      <w:outlineLvl w:val="4"/>
    </w:pPr>
    <w:rPr/>
  </w:style>
  <w:style w:type="paragraph" w:styleId="OutlineL6">
    <w:name w:val="Outline_L6"/>
    <w:basedOn w:val="OutlineL5"/>
    <w:next w:val="NumContinue"/>
    <w:qFormat/>
    <w:pPr>
      <w:numPr>
        <w:ilvl w:val="0"/>
        <w:numId w:val="6"/>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6"/>
      </w:numPr>
      <w:ind w:hanging="360" w:start="360" w:end="0"/>
      <w:outlineLvl w:val="6"/>
    </w:pPr>
    <w:rPr/>
  </w:style>
  <w:style w:type="paragraph" w:styleId="OutlineL8">
    <w:name w:val="Outline_L8"/>
    <w:basedOn w:val="OutlineL7"/>
    <w:next w:val="NumContinue"/>
    <w:qFormat/>
    <w:pPr>
      <w:numPr>
        <w:ilvl w:val="0"/>
        <w:numId w:val="6"/>
      </w:numPr>
      <w:ind w:hanging="360" w:start="360" w:end="0"/>
      <w:outlineLvl w:val="7"/>
    </w:pPr>
    <w:rPr/>
  </w:style>
  <w:style w:type="paragraph" w:styleId="OutlineL9">
    <w:name w:val="Outline_L9"/>
    <w:basedOn w:val="OutlineL8"/>
    <w:next w:val="NumContinue"/>
    <w:qFormat/>
    <w:pPr>
      <w:numPr>
        <w:ilvl w:val="0"/>
        <w:numId w:val="6"/>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2001-04-19T14:45:00Z</dcterms:created>
  <dc:creator>Stephen Krebs</dc:creator>
  <dc:description/>
  <dc:language>en-CA</dc:language>
  <cp:lastModifiedBy>kmann</cp:lastModifiedBy>
  <cp:lastPrinted>2001-04-19T15:58:00Z</cp:lastPrinted>
  <dcterms:modified xsi:type="dcterms:W3CDTF">2001-04-19T18:33:00Z</dcterms:modified>
  <cp:revision>3</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