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MDEA Contract Outline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Party Representations</w:t>
      </w:r>
    </w:p>
    <w:p>
      <w:pPr>
        <w:pStyle w:val="Normal"/>
        <w:numPr>
          <w:ilvl w:val="0"/>
          <w:numId w:val="2"/>
        </w:numPr>
        <w:rPr/>
      </w:pPr>
      <w:r>
        <w:rPr/>
        <w:t>Definitions</w:t>
      </w:r>
    </w:p>
    <w:p>
      <w:pPr>
        <w:pStyle w:val="Normal"/>
        <w:numPr>
          <w:ilvl w:val="0"/>
          <w:numId w:val="2"/>
        </w:numPr>
        <w:rPr/>
      </w:pPr>
      <w:r>
        <w:rPr/>
        <w:t>Term</w:t>
      </w:r>
    </w:p>
    <w:p>
      <w:pPr>
        <w:pStyle w:val="Normal"/>
        <w:numPr>
          <w:ilvl w:val="0"/>
          <w:numId w:val="2"/>
        </w:numPr>
        <w:rPr/>
      </w:pPr>
      <w:r>
        <w:rPr/>
        <w:t>Obligations of the Parties</w:t>
      </w:r>
    </w:p>
    <w:p>
      <w:pPr>
        <w:pStyle w:val="Normal"/>
        <w:numPr>
          <w:ilvl w:val="0"/>
          <w:numId w:val="2"/>
        </w:numPr>
        <w:rPr/>
      </w:pPr>
      <w:r>
        <w:rPr/>
        <w:t>MDEA Delivery of Available Energy and Capacity</w:t>
      </w:r>
    </w:p>
    <w:p>
      <w:pPr>
        <w:pStyle w:val="Normal"/>
        <w:numPr>
          <w:ilvl w:val="0"/>
          <w:numId w:val="2"/>
        </w:numPr>
        <w:rPr>
          <w:color w:val="0000FF"/>
        </w:rPr>
      </w:pPr>
      <w:r>
        <w:rPr>
          <w:color w:val="0000FF"/>
        </w:rPr>
        <w:t>Scheduling and Coordination (move QSE doc stuff here??)</w:t>
      </w:r>
    </w:p>
    <w:p>
      <w:pPr>
        <w:pStyle w:val="Normal"/>
        <w:numPr>
          <w:ilvl w:val="0"/>
          <w:numId w:val="2"/>
        </w:numPr>
        <w:rPr/>
      </w:pPr>
      <w:r>
        <w:rPr/>
        <w:t>Accounting and Reports Marketing</w:t>
      </w:r>
    </w:p>
    <w:p>
      <w:pPr>
        <w:pStyle w:val="Normal"/>
        <w:numPr>
          <w:ilvl w:val="0"/>
          <w:numId w:val="2"/>
        </w:numPr>
        <w:rPr/>
      </w:pPr>
      <w:r>
        <w:rPr/>
        <w:t>Performance Standards Delivery Point; Title</w:t>
      </w:r>
    </w:p>
    <w:p>
      <w:pPr>
        <w:pStyle w:val="Normal"/>
        <w:numPr>
          <w:ilvl w:val="0"/>
          <w:numId w:val="2"/>
        </w:numPr>
        <w:rPr/>
      </w:pPr>
      <w:r>
        <w:rPr/>
        <w:t>Transmission of Available Energy and Capacity Produced by the Facilities</w:t>
      </w:r>
    </w:p>
    <w:p>
      <w:pPr>
        <w:pStyle w:val="Normal"/>
        <w:numPr>
          <w:ilvl w:val="0"/>
          <w:numId w:val="2"/>
        </w:numPr>
        <w:rPr/>
      </w:pPr>
      <w:r>
        <w:rPr/>
        <w:t>Fuel Management Services</w:t>
      </w:r>
    </w:p>
    <w:p>
      <w:pPr>
        <w:pStyle w:val="Normal"/>
        <w:numPr>
          <w:ilvl w:val="0"/>
          <w:numId w:val="2"/>
        </w:numPr>
        <w:rPr/>
      </w:pPr>
      <w:r>
        <w:rPr/>
        <w:t>Trading and Risk Policy</w:t>
      </w:r>
    </w:p>
    <w:p>
      <w:pPr>
        <w:pStyle w:val="Normal"/>
        <w:numPr>
          <w:ilvl w:val="0"/>
          <w:numId w:val="2"/>
        </w:numPr>
        <w:rPr/>
      </w:pPr>
      <w:r>
        <w:rPr/>
        <w:t>Metering</w:t>
      </w:r>
    </w:p>
    <w:p>
      <w:pPr>
        <w:pStyle w:val="Normal"/>
        <w:numPr>
          <w:ilvl w:val="0"/>
          <w:numId w:val="2"/>
        </w:numPr>
        <w:rPr/>
      </w:pPr>
      <w:r>
        <w:rPr/>
        <w:t>Force Majeure</w:t>
      </w:r>
    </w:p>
    <w:p>
      <w:pPr>
        <w:pStyle w:val="Normal"/>
        <w:numPr>
          <w:ilvl w:val="0"/>
          <w:numId w:val="2"/>
        </w:numPr>
        <w:rPr/>
      </w:pPr>
      <w:r>
        <w:rPr/>
        <w:t>Payments and Fees</w:t>
      </w:r>
    </w:p>
    <w:p>
      <w:pPr>
        <w:pStyle w:val="Normal"/>
        <w:numPr>
          <w:ilvl w:val="0"/>
          <w:numId w:val="2"/>
        </w:numPr>
        <w:rPr/>
      </w:pPr>
      <w:r>
        <w:rPr/>
        <w:t>Default and Remedies Upon Default</w:t>
      </w:r>
    </w:p>
    <w:p>
      <w:pPr>
        <w:pStyle w:val="Normal"/>
        <w:numPr>
          <w:ilvl w:val="0"/>
          <w:numId w:val="2"/>
        </w:numPr>
        <w:rPr/>
      </w:pPr>
      <w:r>
        <w:rPr/>
        <w:t>Termination</w:t>
      </w:r>
    </w:p>
    <w:p>
      <w:pPr>
        <w:pStyle w:val="Normal"/>
        <w:numPr>
          <w:ilvl w:val="0"/>
          <w:numId w:val="2"/>
        </w:numPr>
        <w:rPr/>
      </w:pPr>
      <w:r>
        <w:rPr/>
        <w:t>Indemnification, Limitation on Damages</w:t>
      </w:r>
    </w:p>
    <w:p>
      <w:pPr>
        <w:pStyle w:val="Normal"/>
        <w:numPr>
          <w:ilvl w:val="0"/>
          <w:numId w:val="2"/>
        </w:numPr>
        <w:rPr/>
      </w:pPr>
      <w:r>
        <w:rPr/>
        <w:t>Books and Records – Audit Rights</w:t>
      </w:r>
    </w:p>
    <w:p>
      <w:pPr>
        <w:pStyle w:val="Normal"/>
        <w:numPr>
          <w:ilvl w:val="0"/>
          <w:numId w:val="2"/>
        </w:numPr>
        <w:rPr/>
      </w:pPr>
      <w:r>
        <w:rPr/>
        <w:t>Dispute Resolution</w:t>
      </w:r>
    </w:p>
    <w:p>
      <w:pPr>
        <w:pStyle w:val="Normal"/>
        <w:numPr>
          <w:ilvl w:val="0"/>
          <w:numId w:val="2"/>
        </w:numPr>
        <w:rPr/>
      </w:pPr>
      <w:r>
        <w:rPr/>
        <w:t>Assignment</w:t>
      </w:r>
    </w:p>
    <w:p>
      <w:pPr>
        <w:pStyle w:val="Normal"/>
        <w:numPr>
          <w:ilvl w:val="0"/>
          <w:numId w:val="2"/>
        </w:numPr>
        <w:rPr/>
      </w:pPr>
      <w:r>
        <w:rPr/>
        <w:t>Survival of Provisions</w:t>
      </w:r>
    </w:p>
    <w:p>
      <w:pPr>
        <w:pStyle w:val="Normal"/>
        <w:numPr>
          <w:ilvl w:val="0"/>
          <w:numId w:val="2"/>
        </w:numPr>
        <w:rPr/>
      </w:pPr>
      <w:r>
        <w:rPr/>
        <w:t>Severability of Provisions</w:t>
      </w:r>
    </w:p>
    <w:p>
      <w:pPr>
        <w:pStyle w:val="Normal"/>
        <w:numPr>
          <w:ilvl w:val="0"/>
          <w:numId w:val="2"/>
        </w:numPr>
        <w:rPr/>
      </w:pPr>
      <w:r>
        <w:rPr/>
        <w:t>Confidentiality</w:t>
      </w:r>
    </w:p>
    <w:p>
      <w:pPr>
        <w:pStyle w:val="Normal"/>
        <w:numPr>
          <w:ilvl w:val="0"/>
          <w:numId w:val="2"/>
        </w:numPr>
        <w:rPr/>
      </w:pPr>
      <w:r>
        <w:rPr/>
        <w:t>Notice</w:t>
      </w:r>
    </w:p>
    <w:p>
      <w:pPr>
        <w:pStyle w:val="Normal"/>
        <w:numPr>
          <w:ilvl w:val="0"/>
          <w:numId w:val="2"/>
        </w:numPr>
        <w:rPr/>
      </w:pPr>
      <w:r>
        <w:rPr/>
        <w:t>Waivers</w:t>
      </w:r>
    </w:p>
    <w:p>
      <w:pPr>
        <w:pStyle w:val="Normal"/>
        <w:numPr>
          <w:ilvl w:val="0"/>
          <w:numId w:val="2"/>
        </w:numPr>
        <w:rPr/>
      </w:pPr>
      <w:r>
        <w:rPr/>
        <w:t>Taxes</w:t>
      </w:r>
    </w:p>
    <w:p>
      <w:pPr>
        <w:pStyle w:val="Normal"/>
        <w:numPr>
          <w:ilvl w:val="0"/>
          <w:numId w:val="2"/>
        </w:numPr>
        <w:rPr/>
      </w:pPr>
      <w:r>
        <w:rPr/>
        <w:t>Reps and Warranties</w:t>
      </w:r>
    </w:p>
    <w:p>
      <w:pPr>
        <w:pStyle w:val="Normal"/>
        <w:numPr>
          <w:ilvl w:val="0"/>
          <w:numId w:val="2"/>
        </w:numPr>
        <w:rPr/>
      </w:pPr>
      <w:r>
        <w:rPr/>
        <w:t>Miscellaneous</w:t>
      </w:r>
    </w:p>
    <w:p>
      <w:pPr>
        <w:pStyle w:val="Normal"/>
        <w:numPr>
          <w:ilvl w:val="0"/>
          <w:numId w:val="2"/>
        </w:numPr>
        <w:rPr/>
      </w:pPr>
      <w:r>
        <w:rPr/>
        <w:t>Independent Contractor – No Partnership – Standard of Care</w:t>
      </w:r>
    </w:p>
    <w:p>
      <w:pPr>
        <w:pStyle w:val="Normal"/>
        <w:numPr>
          <w:ilvl w:val="0"/>
          <w:numId w:val="2"/>
        </w:numPr>
        <w:rPr/>
      </w:pPr>
      <w:r>
        <w:rPr/>
        <w:t>Netting – Set Off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Energy Management Services Agreement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Article 1 – Services, </w:t>
      </w:r>
      <w:r>
        <w:rPr>
          <w:color w:val="FF0000"/>
        </w:rPr>
        <w:t>Fees</w:t>
      </w:r>
      <w:r>
        <w:rPr/>
        <w:t xml:space="preserve"> and Credit Support</w:t>
      </w:r>
    </w:p>
    <w:p>
      <w:pPr>
        <w:pStyle w:val="Normal"/>
        <w:numPr>
          <w:ilvl w:val="1"/>
          <w:numId w:val="1"/>
        </w:numPr>
        <w:rPr>
          <w:color w:val="0000FF"/>
        </w:rPr>
      </w:pPr>
      <w:r>
        <w:rPr>
          <w:color w:val="0000FF"/>
        </w:rPr>
        <w:t>QSE Qualification-Mock Market Simulation Testing/Retail Pilot Test</w:t>
      </w:r>
    </w:p>
    <w:p>
      <w:pPr>
        <w:pStyle w:val="Normal"/>
        <w:numPr>
          <w:ilvl w:val="1"/>
          <w:numId w:val="1"/>
        </w:numPr>
        <w:rPr/>
      </w:pPr>
      <w:r>
        <w:rPr>
          <w:color w:val="0000FF"/>
        </w:rPr>
        <w:t>Services Provided Following Retail Pilot Test</w:t>
      </w:r>
    </w:p>
    <w:p>
      <w:pPr>
        <w:pStyle w:val="Normal"/>
        <w:numPr>
          <w:ilvl w:val="1"/>
          <w:numId w:val="1"/>
        </w:numPr>
        <w:rPr/>
      </w:pPr>
      <w:r>
        <w:rPr/>
        <w:t>EPMI Compliance</w:t>
      </w:r>
    </w:p>
    <w:p>
      <w:pPr>
        <w:pStyle w:val="Normal"/>
        <w:numPr>
          <w:ilvl w:val="1"/>
          <w:numId w:val="1"/>
        </w:numPr>
        <w:rPr/>
      </w:pPr>
      <w:r>
        <w:rPr/>
        <w:t>EPMI Contact Persons</w:t>
      </w:r>
    </w:p>
    <w:p>
      <w:pPr>
        <w:pStyle w:val="Normal"/>
        <w:numPr>
          <w:ilvl w:val="1"/>
          <w:numId w:val="1"/>
        </w:numPr>
        <w:rPr/>
      </w:pPr>
      <w:r>
        <w:rPr/>
        <w:t>Additional Services</w:t>
      </w:r>
    </w:p>
    <w:p>
      <w:pPr>
        <w:pStyle w:val="Normal"/>
        <w:numPr>
          <w:ilvl w:val="1"/>
          <w:numId w:val="1"/>
        </w:numPr>
        <w:rPr/>
      </w:pPr>
      <w:r>
        <w:rPr/>
        <w:t>Charge Reimbursement</w:t>
      </w:r>
    </w:p>
    <w:p>
      <w:pPr>
        <w:pStyle w:val="Normal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Fee Payments and Charge Reimbursement</w:t>
      </w:r>
    </w:p>
    <w:p>
      <w:pPr>
        <w:pStyle w:val="Normal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Reliance on facilities Information</w:t>
      </w:r>
    </w:p>
    <w:p>
      <w:pPr>
        <w:pStyle w:val="Normal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Customer Inaction</w:t>
      </w:r>
    </w:p>
    <w:p>
      <w:pPr>
        <w:pStyle w:val="Normal"/>
        <w:numPr>
          <w:ilvl w:val="1"/>
          <w:numId w:val="1"/>
        </w:numPr>
        <w:rPr/>
      </w:pPr>
      <w:r>
        <w:rPr/>
        <w:t>Regulatory Event, Material Revisions to Protocols</w:t>
      </w:r>
    </w:p>
    <w:p>
      <w:pPr>
        <w:pStyle w:val="Normal"/>
        <w:numPr>
          <w:ilvl w:val="0"/>
          <w:numId w:val="1"/>
        </w:numPr>
        <w:rPr/>
      </w:pPr>
      <w:r>
        <w:rPr/>
        <w:t>Article 2 – Customer Repsonsibilities</w:t>
      </w:r>
    </w:p>
    <w:p>
      <w:pPr>
        <w:pStyle w:val="Normal"/>
        <w:numPr>
          <w:ilvl w:val="1"/>
          <w:numId w:val="1"/>
        </w:numPr>
        <w:rPr/>
      </w:pPr>
      <w:r>
        <w:rPr/>
        <w:t>Customer contact person</w:t>
      </w:r>
    </w:p>
    <w:p>
      <w:pPr>
        <w:pStyle w:val="Normal"/>
        <w:numPr>
          <w:ilvl w:val="1"/>
          <w:numId w:val="1"/>
        </w:numPr>
        <w:rPr/>
      </w:pPr>
      <w:r>
        <w:rPr/>
        <w:t>Provision of Customer Information</w:t>
      </w:r>
    </w:p>
    <w:p>
      <w:pPr>
        <w:pStyle w:val="Normal"/>
        <w:numPr>
          <w:ilvl w:val="1"/>
          <w:numId w:val="1"/>
        </w:numPr>
        <w:rPr/>
      </w:pPr>
      <w:r>
        <w:rPr/>
        <w:t>Third Party Consents</w:t>
      </w:r>
    </w:p>
    <w:p>
      <w:pPr>
        <w:pStyle w:val="Normal"/>
        <w:numPr>
          <w:ilvl w:val="1"/>
          <w:numId w:val="1"/>
        </w:numPr>
        <w:rPr/>
      </w:pPr>
      <w:r>
        <w:rPr/>
        <w:t>Customer Compliance</w:t>
      </w:r>
    </w:p>
    <w:p>
      <w:pPr>
        <w:pStyle w:val="Normal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Article 3 – Termination of Appendix Services</w:t>
      </w:r>
    </w:p>
    <w:p>
      <w:pPr>
        <w:pStyle w:val="Normal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Termination relating to SERC’s Actions, etc</w:t>
      </w:r>
    </w:p>
    <w:p>
      <w:pPr>
        <w:pStyle w:val="Normal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Article 4 – Indemnity</w:t>
      </w:r>
    </w:p>
    <w:p>
      <w:pPr>
        <w:pStyle w:val="Normal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Article 5 – Confidentiality</w:t>
      </w:r>
    </w:p>
    <w:p>
      <w:pPr>
        <w:pStyle w:val="Normal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EPMI Proprietary Property</w:t>
      </w:r>
    </w:p>
    <w:p>
      <w:pPr>
        <w:pStyle w:val="Normal"/>
        <w:numPr>
          <w:ilvl w:val="0"/>
          <w:numId w:val="1"/>
        </w:numPr>
        <w:rPr/>
      </w:pPr>
      <w:r>
        <w:rPr>
          <w:color w:val="FF0000"/>
        </w:rPr>
        <w:t>Article 6 – Dispute Resolution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My review is incomplete, however….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 xml:space="preserve">I think the stuff in </w:t>
      </w:r>
      <w:r>
        <w:rPr>
          <w:color w:val="FF0000"/>
        </w:rPr>
        <w:t>red</w:t>
      </w:r>
      <w:r>
        <w:rPr/>
        <w:t xml:space="preserve"> is redundant??</w:t>
      </w:r>
    </w:p>
    <w:p>
      <w:pPr>
        <w:pStyle w:val="Normal"/>
        <w:ind w:start="360" w:end="0"/>
        <w:rPr/>
      </w:pPr>
      <w:r>
        <w:rPr/>
        <w:t xml:space="preserve">I think the stuff in </w:t>
      </w:r>
      <w:r>
        <w:rPr>
          <w:color w:val="0000FF"/>
        </w:rPr>
        <w:t>blue</w:t>
      </w:r>
      <w:r>
        <w:rPr/>
        <w:t xml:space="preserve"> should go in previous doc???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2001-04-05T12:44:00Z</dcterms:created>
  <dc:creator>rrorscha</dc:creator>
  <dc:description/>
  <dc:language>en-CA</dc:language>
  <cp:lastModifiedBy>rrorscha</cp:lastModifiedBy>
  <dcterms:modified xsi:type="dcterms:W3CDTF">2001-04-05T14:16:00Z</dcterms:modified>
  <cp:revision>1</cp:revision>
  <dc:subject/>
  <dc:title>MDEA Contract Outline</dc:title>
</cp:coreProperties>
</file>