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Mississippi Delta Energy Agency, as agent for Clarksdale Public Utilities Commission of the City of Clarksdale, Mississippi and Public Service Commission of Yazoo City of the City of Yazoo City, Mississippi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8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$200,000,000.00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szCs w:val="24"/>
              </w:rPr>
              <w:t xml:space="preserve">  </w:t>
            </w:r>
            <w:r>
              <w:rPr>
                <w:rFonts w:cs="Times New Roman" w:ascii="Times New Roman" w:hAnsi="Times New Roman"/>
                <w:szCs w:val="24"/>
              </w:rPr>
              <w:t>Other Entity: Either Mississippi Delta Energy Agency, Clarksdale Public Utilities Commission of the City of Clarksdale, Mississippi or the Public Service Commission of Yazoo City of the City of Yazoo City, Mississippi</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 xml:space="preserve">Cross Default Amount $250,000.00 </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28"/>
              </w:rPr>
              <w:sym w:font="Wingdings 2" w:char="f054"/>
            </w:r>
            <w:r>
              <w:rPr>
                <w:sz w:val="20"/>
              </w:rPr>
              <w:tab/>
              <w:t>Option B   Specify: each of Mississippi Delta Energy Agency, Clarksdale Public Utilities Commission of the City of Clarksdale, Mississippi and the Public Service Commission of Yazoo City of the City of Yazoo City, Mississippi</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N/A</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N/A</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pPr>
            <w:r>
              <w:rPr>
                <w:rFonts w:eastAsia="Wingdings 2" w:cs="Wingdings 2" w:ascii="Wingdings 2" w:hAnsi="Wingdings 2"/>
                <w:b/>
                <w:bCs/>
                <w:sz w:val="28"/>
              </w:rPr>
              <w:sym w:font="Wingdings 2" w:char="f054"/>
            </w:r>
            <w:r>
              <w:rPr>
                <w:sz w:val="20"/>
              </w:rPr>
              <w:tab/>
              <w:t xml:space="preserve">Other: </w:t>
              <w:br/>
              <w:t xml:space="preserve">Specify: It shall be a Downgrade Event for Party B if any of the following shall occur at any time:  (a) if either Clarksdale Public Utilities Commission of the City of Clarksdale, Mississippi or Public Service Commission of Yazoo City of the City of Yazoo City, Mississippi’s Credit Rating falls below Baa2 from Moody’s; or (b) if either Clarksdale Public Utilities Commission of the City of Clarksdale, Mississippi or Public Service Commission of Yazoo City of the City of Yazoo City, Mississippi is not rated by Moody’s; or (c) if the Net Worth of the Clarksdale Public Utilities Commission of the City of Clarksdale, Mississippi falls below $24,000,000; or (d) if the Net Worth of the Public Service Commission of Yazoo City of the City of Yazoo City, Mississippi falls below $18,500,000.  </w:t>
            </w:r>
            <w:r>
              <w:rPr>
                <w:i/>
                <w:sz w:val="20"/>
              </w:rPr>
              <w:t>"</w:t>
            </w:r>
            <w:r>
              <w:rPr>
                <w:i/>
                <w:sz w:val="20"/>
                <w:u w:val="single"/>
              </w:rPr>
              <w:t>Net Worth</w:t>
            </w:r>
            <w:r>
              <w:rPr>
                <w:sz w:val="20"/>
              </w:rPr>
              <w:t xml:space="preserve">" means, with respect to the specified commission, such commission's total assets (exclusive of intangible assets), </w:t>
            </w:r>
            <w:r>
              <w:rPr>
                <w:sz w:val="20"/>
                <w:u w:val="single"/>
              </w:rPr>
              <w:t>minus</w:t>
            </w:r>
            <w:r>
              <w:rPr>
                <w:sz w:val="20"/>
              </w:rPr>
              <w:t xml:space="preserve"> such fund's total liabilities, each as would be reflected on a balance sheet of the specified commission prepared in accordance with GAAP.  </w:t>
            </w:r>
            <w:r>
              <w:rPr>
                <w:i/>
                <w:sz w:val="20"/>
              </w:rPr>
              <w:t>"</w:t>
            </w:r>
            <w:r>
              <w:rPr>
                <w:i/>
                <w:sz w:val="20"/>
                <w:u w:val="single"/>
              </w:rPr>
              <w:t>GAAP</w:t>
            </w:r>
            <w:r>
              <w:rPr>
                <w:sz w:val="20"/>
              </w:rPr>
              <w:t>" means generally accepted accounting principles, consistently applied.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28"/>
              </w:rPr>
              <w:sym w:font="Wingdings 2" w:char="f054"/>
            </w:r>
            <w:r>
              <w:rPr>
                <w:sz w:val="20"/>
              </w:rPr>
              <w:tab/>
              <w:t>Option B   Specify: Enron Corp.</w:t>
            </w:r>
            <w:r>
              <w:rPr>
                <w:sz w:val="20"/>
                <w:u w:val="single"/>
              </w:rPr>
              <w:t xml:space="preserve">            </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N/A</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N/A</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28"/>
              </w:rPr>
              <w:sym w:font="Wingdings 2" w:char="f054"/>
            </w:r>
            <w:r>
              <w:rPr>
                <w:sz w:val="20"/>
              </w:rPr>
              <w:tab/>
              <w:t xml:space="preserve">It shall be a Downgrade Event for Party A if Enron Corp.'s Credit Rating falls below Baa3 from Moody's or if Enron Corp. is not rated by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$10,000,000.00 (multi-commodity guarantee to cover Party A’s wholesale power and Enron North America Corp.’s gas physical trading activities)</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or added as set forth below:</w:t>
      </w:r>
    </w:p>
    <w:p>
      <w:pPr>
        <w:pStyle w:val="Normal"/>
        <w:numPr>
          <w:ilvl w:val="1"/>
          <w:numId w:val="13"/>
        </w:numPr>
        <w:tabs>
          <w:tab w:val="clear" w:pos="720"/>
          <w:tab w:val="left" w:pos="900" w:leader="none"/>
        </w:tabs>
        <w:spacing w:before="0" w:after="120"/>
        <w:ind w:hanging="1080" w:start="1440" w:end="0"/>
        <w:jc w:val="both"/>
        <w:rPr>
          <w:sz w:val="20"/>
        </w:rPr>
      </w:pPr>
      <w:r>
        <w:rPr>
          <w:sz w:val="20"/>
        </w:rPr>
        <w:t xml:space="preserve">With respect to Party B, Section 1.12 is amended as follows: </w:t>
      </w:r>
    </w:p>
    <w:p>
      <w:pPr>
        <w:pStyle w:val="coverbody"/>
        <w:tabs>
          <w:tab w:val="clear" w:pos="720"/>
          <w:tab w:val="left" w:pos="360" w:leader="none"/>
        </w:tabs>
        <w:spacing w:before="0" w:after="120"/>
        <w:ind w:start="360" w:end="0"/>
        <w:rPr/>
      </w:pPr>
      <w:r>
        <w:rPr/>
        <w:t>"Credit Rating" means, with respect to Party B only, the Moody’s rating then assigned to existing and future electric revenue and utility revenue bonds of Clarksdale Public Utilities Commission of the City of Clarksdale, Mississippi or Public Service Commission of Yazoo City of the City of Yazoo City, Mississippi.</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szCs w:val="20"/>
        </w:rPr>
        <w:t>Section 1.50 is amended by changing "Section 2.4" to "Section 2.5".</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BodyText"/>
        <w:jc w:val="both"/>
        <w:rPr/>
      </w:pPr>
      <w:r>
        <w:rPr>
          <w:sz w:val="20"/>
          <w:szCs w:val="24"/>
        </w:rPr>
        <w:t xml:space="preserve">The following shall be added to the end of Section 5.1 as (i):  "if at any time </w:t>
      </w:r>
      <w:r>
        <w:rPr>
          <w:sz w:val="20"/>
        </w:rPr>
        <w:t>either Clarksdale Public Utilities Commission of the City of Clarksdale, Mississippi or Public Service Commission of Yazoo City of the City of Yazoo City, Mississippi</w:t>
      </w:r>
      <w:r>
        <w:rPr>
          <w:sz w:val="20"/>
          <w:szCs w:val="24"/>
        </w:rPr>
        <w:t xml:space="preserve"> no longer has the ability to charge users for electric expenses incurred pursuant to its operations in providing goods or services to its general public customers.”</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(a) delete the following phrase from the last two lines: "under applicable law on the Early Termination Date, as soon thereafter as is reasonably practicable)"; and (b) changing the phrase "(i) to designate" to "to (i) designate" in the third line thereof.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r>
        <w:rPr>
          <w:b/>
          <w:bCs/>
        </w:rPr>
        <w:t xml:space="preserve"> </w:t>
      </w:r>
    </w:p>
    <w:p>
      <w:pPr>
        <w:pStyle w:val="coverbody"/>
        <w:numPr>
          <w:ilvl w:val="0"/>
          <w:numId w:val="13"/>
        </w:numPr>
        <w:tabs>
          <w:tab w:val="clear" w:pos="720"/>
          <w:tab w:val="left" w:pos="0" w:leader="none"/>
          <w:tab w:val="left" w:pos="360" w:leader="none"/>
        </w:tabs>
        <w:spacing w:before="0" w:after="120"/>
        <w:ind w:hanging="0" w:start="0" w:end="0"/>
        <w:rPr/>
      </w:pPr>
      <w:r>
        <w:rPr>
          <w:b/>
          <w:bCs/>
        </w:rPr>
        <w:t xml:space="preserve">Closeout Setoffs.  </w:t>
      </w:r>
      <w:r>
        <w:rPr/>
        <w:t>Section 5.6 is amended by adding after the words “Non-Defaulting Party or any of its Affiliates” in the sixth line thereof the following: “including, without limitation, any amounts owing by the Defaulting Party or any of its Affiliates to the Non-Defaulting Party or any of its Affiliates under the Energy Management Services Agreement between Mississippi Delta Energy Agency, Clarksdale Public Utilities Commission of the City of Clarksdale, Mississippi and Public Service Commission of Yazoo City of the City of Yazoo City, Mississippi and Enron Power Marketing, Inc. dated  June __, 2001 (referred to herein as the “Energy Management Services Agreement”)”.</w:t>
      </w:r>
    </w:p>
    <w:p>
      <w:pPr>
        <w:pStyle w:val="coverbody"/>
        <w:numPr>
          <w:ilvl w:val="0"/>
          <w:numId w:val="13"/>
        </w:numPr>
        <w:tabs>
          <w:tab w:val="clear" w:pos="720"/>
          <w:tab w:val="left" w:pos="0" w:leader="none"/>
          <w:tab w:val="left" w:pos="360" w:leader="none"/>
        </w:tabs>
        <w:spacing w:before="0" w:after="120"/>
        <w:ind w:hanging="0" w:start="0" w:end="0"/>
        <w:rPr/>
      </w:pPr>
      <w:r>
        <w:rPr>
          <w:b/>
        </w:rPr>
        <w:t>Timeliness of Payment</w:t>
      </w:r>
      <w:r>
        <w:rPr/>
        <w:t xml:space="preserve">.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 </w:t>
      </w:r>
    </w:p>
    <w:p>
      <w:pPr>
        <w:pStyle w:val="Normal"/>
        <w:numPr>
          <w:ilvl w:val="0"/>
          <w:numId w:val="13"/>
        </w:numPr>
        <w:tabs>
          <w:tab w:val="clear" w:pos="720"/>
          <w:tab w:val="left" w:pos="360" w:leader="none"/>
        </w:tabs>
        <w:spacing w:before="0" w:after="120"/>
        <w:ind w:hanging="0" w:start="0" w:end="0"/>
        <w:jc w:val="both"/>
        <w:rPr>
          <w:sz w:val="20"/>
        </w:rPr>
      </w:pPr>
      <w:r>
        <w:rPr>
          <w:b/>
          <w:sz w:val="20"/>
        </w:rPr>
        <w:t>Netting of Payments</w:t>
      </w:r>
      <w:r>
        <w:rPr>
          <w:sz w:val="20"/>
        </w:rPr>
        <w:t>.  Sections 6.4 and 6.5 are deleted in full and replaced by the following:</w:t>
      </w:r>
    </w:p>
    <w:p>
      <w:pPr>
        <w:pStyle w:val="Heading2"/>
        <w:numPr>
          <w:ilvl w:val="0"/>
          <w:numId w:val="0"/>
        </w:numPr>
        <w:ind w:hanging="0" w:start="0"/>
        <w:rPr/>
      </w:pPr>
      <w:r>
        <w:rPr>
          <w:sz w:val="20"/>
        </w:rPr>
        <w:t>“</w:t>
      </w:r>
      <w:r>
        <w:rPr>
          <w:sz w:val="20"/>
        </w:rPr>
        <w:t xml:space="preserve">6.4 </w:t>
      </w:r>
      <w:r>
        <w:rPr>
          <w:sz w:val="20"/>
          <w:u w:val="single"/>
        </w:rPr>
        <w:t>Netting of Payments.</w:t>
      </w:r>
      <w:r>
        <w:rPr>
          <w:sz w:val="20"/>
        </w:rPr>
        <w:t xml:space="preserve">  The Parties hereby agree that they shall discharge mutual debts and payment obligations due and owing to each other on the same date pursuant to all Transactions, or pursuant to the Energy Management Services Agreement, through netting, in which case all amounts owed by each Party to the other Party for the purchase and sale of Products during the monthly billing period under this Master Agreement and any amounts owed by each Party to the other Party for services rendered, costs incurred, reimbursements, indemnification obligations, or other provisions of the Energy Management Services Agreement, including any related damages thereunder, interest, and payments or credits, shall be netted so that only the excess amount remaining due shall be paid by the Party who owes it.  </w:t>
      </w:r>
    </w:p>
    <w:p>
      <w:pPr>
        <w:pStyle w:val="Normal"/>
        <w:tabs>
          <w:tab w:val="clear" w:pos="720"/>
          <w:tab w:val="left" w:pos="360" w:leader="none"/>
        </w:tabs>
        <w:spacing w:before="0" w:after="120"/>
        <w:jc w:val="both"/>
        <w:rPr/>
      </w:pPr>
      <w:r>
        <w:rPr>
          <w:sz w:val="20"/>
        </w:rPr>
        <w:t xml:space="preserve">6.5 </w:t>
      </w:r>
      <w:r>
        <w:rPr>
          <w:sz w:val="20"/>
          <w:u w:val="single"/>
        </w:rPr>
        <w:t>Payment Obligation Absent Netting</w:t>
      </w:r>
      <w:r>
        <w:rPr>
          <w:sz w:val="20"/>
        </w:rPr>
        <w:t>.  If no mutual debts or payment obligations exist and only one Party owes a debt or obligation to the other during the monthly billing period under this Master Agreement or under the Energy Management Services Agreement, including, but not limited to, any related damage amounts calculated pursuant to Article Four, interest, and payments or credits, whether under this Master Agreement or under the Energy Management Services Agreement, that Party shall pay such sum in full when due.</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Guarantee Amount</w:t>
      </w:r>
      <w:r>
        <w:rPr>
          <w:sz w:val="20"/>
        </w:rPr>
        <w:t>.  The last sentence of Section 8.2 (e) is amended to add the following phrase at the end: ", provided that in no event shall the liability of Party A's Guarantor exceed the Party A Guaranty Amount."</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Mississippi Delta Energy Agency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b w:val="false"/>
          <w:bCs/>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BlockTextBold"/>
        <w:rPr>
          <w:b w:val="false"/>
          <w:bCs/>
          <w:sz w:val="20"/>
        </w:rPr>
      </w:pPr>
      <w:r>
        <w:rPr>
          <w:b w:val="false"/>
          <w:bCs/>
          <w:sz w:val="20"/>
        </w:rPr>
      </w:r>
      <w:r>
        <w:br w:type="page"/>
      </w:r>
    </w:p>
    <w:p>
      <w:pPr>
        <w:pStyle w:val="BlockTextBold"/>
        <w:rPr>
          <w:b w:val="false"/>
          <w:bCs/>
          <w:sz w:val="20"/>
        </w:rPr>
      </w:pPr>
      <w:r>
        <w:rPr>
          <w:b w:val="false"/>
          <w:bCs/>
          <w:sz w:val="20"/>
        </w:rPr>
      </w:r>
    </w:p>
    <w:p>
      <w:pPr>
        <w:pStyle w:val="Normal"/>
        <w:jc w:val="both"/>
        <w:rPr/>
      </w:pPr>
      <w:r>
        <w:rPr>
          <w:sz w:val="20"/>
          <w:szCs w:val="20"/>
        </w:rPr>
        <w:t xml:space="preserve">Attachment to EEI Master Power Purchase </w:t>
      </w:r>
      <w:r>
        <w:rPr>
          <w:rFonts w:eastAsia="Symbol" w:cs="Symbol" w:ascii="Symbol" w:hAnsi="Symbol"/>
          <w:sz w:val="20"/>
          <w:szCs w:val="20"/>
        </w:rPr>
        <w:sym w:font="Symbol" w:char="f026"/>
      </w:r>
      <w:r>
        <w:rPr>
          <w:sz w:val="20"/>
          <w:szCs w:val="20"/>
        </w:rPr>
        <w:t xml:space="preserve"> Sale Agreement:</w:t>
      </w:r>
    </w:p>
    <w:p>
      <w:pPr>
        <w:pStyle w:val="Normal"/>
        <w:jc w:val="both"/>
        <w:rPr>
          <w:sz w:val="20"/>
          <w:szCs w:val="20"/>
        </w:rPr>
      </w:pPr>
      <w:r>
        <w:rPr>
          <w:sz w:val="20"/>
          <w:szCs w:val="20"/>
        </w:rPr>
      </w:r>
    </w:p>
    <w:p>
      <w:pPr>
        <w:pStyle w:val="Normal"/>
        <w:jc w:val="center"/>
        <w:rPr>
          <w:sz w:val="20"/>
          <w:szCs w:val="20"/>
        </w:rPr>
      </w:pPr>
      <w:r>
        <w:rPr>
          <w:sz w:val="20"/>
          <w:szCs w:val="20"/>
        </w:rPr>
        <w:t>CONSENT AND ACKNOWLEDGMENT</w:t>
      </w:r>
    </w:p>
    <w:p>
      <w:pPr>
        <w:pStyle w:val="Normal"/>
        <w:jc w:val="both"/>
        <w:rPr>
          <w:sz w:val="20"/>
          <w:szCs w:val="20"/>
        </w:rPr>
      </w:pPr>
      <w:r>
        <w:rPr>
          <w:sz w:val="20"/>
          <w:szCs w:val="20"/>
        </w:rPr>
      </w:r>
    </w:p>
    <w:p>
      <w:pPr>
        <w:pStyle w:val="Normal"/>
        <w:tabs>
          <w:tab w:val="clear" w:pos="720"/>
          <w:tab w:val="left" w:pos="-1440" w:leader="none"/>
        </w:tabs>
        <w:jc w:val="both"/>
        <w:rPr>
          <w:sz w:val="20"/>
          <w:szCs w:val="20"/>
        </w:rPr>
      </w:pPr>
      <w:r>
        <w:rPr>
          <w:sz w:val="20"/>
          <w:szCs w:val="20"/>
        </w:rPr>
        <w:tab/>
        <w:t xml:space="preserve">Whereas, Mississippi Delta Energy Agency  (“MDEA”) is authorized under Mississippi Code Ann. Section 77-5-727 Subsection (u) to provide a variety of services to Clarksdale Public Utilities Commission of the City of Clarksdale Mississippi (“CPUC”), and Yazoo City Public Service Commission of the City of Yazoo City Mississippi (“YCPSC”), CPUC and YCPSC (collectively referred to herein as the “Cities” and individually as “City”) including, but not limited to, services relating to the sale and procurement of power; </w:t>
      </w:r>
    </w:p>
    <w:p>
      <w:pPr>
        <w:pStyle w:val="Normal"/>
        <w:tabs>
          <w:tab w:val="clear" w:pos="720"/>
          <w:tab w:val="left" w:pos="-1440" w:leader="none"/>
        </w:tabs>
        <w:jc w:val="both"/>
        <w:rPr>
          <w:sz w:val="20"/>
          <w:szCs w:val="20"/>
        </w:rPr>
      </w:pPr>
      <w:r>
        <w:rPr>
          <w:sz w:val="20"/>
          <w:szCs w:val="20"/>
        </w:rPr>
      </w:r>
    </w:p>
    <w:p>
      <w:pPr>
        <w:pStyle w:val="BodyText"/>
        <w:jc w:val="both"/>
        <w:rPr/>
      </w:pPr>
      <w:r>
        <w:rPr>
          <w:sz w:val="20"/>
        </w:rPr>
        <w:t xml:space="preserve">Now, therefore, each of the Cities (a) acknowledges that the MDEA is authorized, following execution of an EEI format Master Power Purchase </w:t>
      </w:r>
      <w:r>
        <w:rPr>
          <w:rFonts w:eastAsia="Symbol" w:cs="Symbol" w:ascii="Symbol" w:hAnsi="Symbol"/>
          <w:sz w:val="20"/>
        </w:rPr>
        <w:sym w:font="Symbol" w:char="f026"/>
      </w:r>
      <w:r>
        <w:rPr>
          <w:sz w:val="20"/>
        </w:rPr>
        <w:t xml:space="preserve"> Sale Agreement with such modifications as are agreed between MDEA and EPMI (the “Master Agreement”) and such other pertinent agreements referenced among the “Agreements” in the cover sheet of such Master Agreement, to enter into transactions with Enron Power Marketing, Inc. (“EPMI”) relating to the purchase and sale of various power products (each such transaction referred to herein as a “Transaction”) pursuant to a single agreement or a series of agreements as authorized agent for and on behalf and for the benefit of each of the Cities signatory hereto; (b) consents thereto and to all of the terms and conditions of each Transaction effected by the MDEA; (c) acknowledges that it is responsible for all obligations incurred thereunder by the MDEA as the Cities’ agent under the Master Agreement and that upon EPMI’s request, within a commerically reasonable period of time, will promptly produce and deliver to EPMI documentation establishing allocations, if any, of Transactions under the Master Agreement to each of the Cities, if any such allocations have been made as between the Cities; and (d) represents and warrants that it and the MDEA each have full power and authority, including all required regulatory authorizations, necessary to make and enter into each Transaction as the valid and binding agreement of each of them enforceable against them in accordance with its terms.</w:t>
      </w:r>
    </w:p>
    <w:p>
      <w:pPr>
        <w:pStyle w:val="BodyText"/>
        <w:jc w:val="both"/>
        <w:rPr>
          <w:sz w:val="20"/>
        </w:rPr>
      </w:pPr>
      <w:r>
        <w:rPr>
          <w:sz w:val="20"/>
        </w:rPr>
      </w:r>
    </w:p>
    <w:p>
      <w:pPr>
        <w:pStyle w:val="BodyText"/>
        <w:jc w:val="both"/>
        <w:rPr>
          <w:sz w:val="20"/>
        </w:rPr>
      </w:pPr>
      <w:r>
        <w:rPr>
          <w:sz w:val="20"/>
        </w:rPr>
        <w:t>Furthermore, each of the Cities hereby acknowledges that EPMI has entered or will enter into the Transactions in reliance upon the execution of this Consent and Acknowledgment by the Cities and that EPMI would not be willing to enter into any Transaction with the MDEA in the absence of this Consent and Acknowledgment.</w:t>
      </w:r>
    </w:p>
    <w:p>
      <w:pPr>
        <w:pStyle w:val="BodyText"/>
        <w:jc w:val="both"/>
        <w:rPr>
          <w:sz w:val="20"/>
        </w:rPr>
      </w:pPr>
      <w:r>
        <w:rPr>
          <w:sz w:val="20"/>
        </w:rPr>
        <w:t>This Consent and Acknowledgment is executed effective the date of execution of the referenced Master Agreement.</w:t>
      </w:r>
    </w:p>
    <w:p>
      <w:pPr>
        <w:pStyle w:val="BodyText"/>
        <w:jc w:val="both"/>
        <w:rPr>
          <w:sz w:val="20"/>
        </w:rPr>
      </w:pPr>
      <w:r>
        <w:rPr>
          <w:sz w:val="20"/>
        </w:rPr>
      </w:r>
    </w:p>
    <w:p>
      <w:pPr>
        <w:pStyle w:val="BodyText"/>
        <w:jc w:val="both"/>
        <w:rPr>
          <w:sz w:val="20"/>
        </w:rPr>
      </w:pPr>
      <w:r>
        <w:rPr>
          <w:sz w:val="20"/>
        </w:rPr>
      </w:r>
    </w:p>
    <w:p>
      <w:pPr>
        <w:pStyle w:val="BodyText"/>
        <w:jc w:val="both"/>
        <w:rPr>
          <w:sz w:val="20"/>
        </w:rPr>
      </w:pPr>
      <w:r>
        <w:rPr>
          <w:sz w:val="20"/>
        </w:rPr>
        <w:t>CLARKSDALE PUBLIC UTILITIES COMMISSION OF THE CITY OF CLARKSDALE MISSISSIPPI</w:t>
      </w:r>
    </w:p>
    <w:p>
      <w:pPr>
        <w:pStyle w:val="BodyText"/>
        <w:jc w:val="both"/>
        <w:rPr>
          <w:sz w:val="20"/>
        </w:rPr>
      </w:pPr>
      <w:r>
        <w:rPr>
          <w:sz w:val="20"/>
        </w:rPr>
      </w:r>
    </w:p>
    <w:p>
      <w:pPr>
        <w:pStyle w:val="BodyText"/>
        <w:jc w:val="both"/>
        <w:rPr>
          <w:sz w:val="20"/>
        </w:rPr>
      </w:pPr>
      <w:r>
        <w:rPr>
          <w:sz w:val="20"/>
        </w:rPr>
        <w:t xml:space="preserve">By: </w:t>
      </w:r>
    </w:p>
    <w:p>
      <w:pPr>
        <w:pStyle w:val="BodyText"/>
        <w:jc w:val="both"/>
        <w:rPr>
          <w:sz w:val="20"/>
        </w:rPr>
      </w:pPr>
      <w:r>
        <w:rPr>
          <w:sz w:val="20"/>
        </w:rPr>
        <w:t>Name:</w:t>
      </w:r>
    </w:p>
    <w:p>
      <w:pPr>
        <w:pStyle w:val="BodyText"/>
        <w:jc w:val="both"/>
        <w:rPr>
          <w:sz w:val="20"/>
        </w:rPr>
      </w:pPr>
      <w:r>
        <w:rPr>
          <w:sz w:val="20"/>
        </w:rPr>
        <w:t>Its:</w:t>
      </w:r>
    </w:p>
    <w:p>
      <w:pPr>
        <w:pStyle w:val="BodyText"/>
        <w:jc w:val="both"/>
        <w:rPr>
          <w:sz w:val="20"/>
        </w:rPr>
      </w:pPr>
      <w:r>
        <w:rPr>
          <w:sz w:val="20"/>
        </w:rPr>
        <w:t>Date:</w:t>
      </w:r>
    </w:p>
    <w:p>
      <w:pPr>
        <w:pStyle w:val="BodyText"/>
        <w:jc w:val="both"/>
        <w:rPr>
          <w:sz w:val="20"/>
        </w:rPr>
      </w:pPr>
      <w:r>
        <w:rPr>
          <w:sz w:val="20"/>
        </w:rPr>
      </w:r>
    </w:p>
    <w:p>
      <w:pPr>
        <w:pStyle w:val="BodyText"/>
        <w:jc w:val="both"/>
        <w:rPr>
          <w:sz w:val="20"/>
        </w:rPr>
      </w:pPr>
      <w:r>
        <w:rPr>
          <w:sz w:val="20"/>
        </w:rPr>
        <w:t>YAZOO CITY PUBLIC SERVICE COMMISSION OF THE CITY OF YAZOO CITY MISSISSIPPI</w:t>
      </w:r>
    </w:p>
    <w:p>
      <w:pPr>
        <w:pStyle w:val="BodyText"/>
        <w:jc w:val="both"/>
        <w:rPr>
          <w:sz w:val="20"/>
        </w:rPr>
      </w:pPr>
      <w:r>
        <w:rPr>
          <w:sz w:val="20"/>
        </w:rPr>
      </w:r>
    </w:p>
    <w:p>
      <w:pPr>
        <w:pStyle w:val="BodyText"/>
        <w:jc w:val="both"/>
        <w:rPr>
          <w:sz w:val="20"/>
        </w:rPr>
      </w:pPr>
      <w:r>
        <w:rPr>
          <w:sz w:val="20"/>
        </w:rPr>
        <w:t>By:</w:t>
      </w:r>
    </w:p>
    <w:p>
      <w:pPr>
        <w:pStyle w:val="BodyText"/>
        <w:jc w:val="both"/>
        <w:rPr>
          <w:sz w:val="20"/>
        </w:rPr>
      </w:pPr>
      <w:r>
        <w:rPr>
          <w:sz w:val="20"/>
        </w:rPr>
        <w:t>Name:</w:t>
      </w:r>
    </w:p>
    <w:p>
      <w:pPr>
        <w:pStyle w:val="BodyText"/>
        <w:jc w:val="both"/>
        <w:rPr>
          <w:sz w:val="20"/>
        </w:rPr>
      </w:pPr>
      <w:r>
        <w:rPr>
          <w:sz w:val="20"/>
        </w:rPr>
        <w:t>Its:</w:t>
      </w:r>
    </w:p>
    <w:p>
      <w:pPr>
        <w:pStyle w:val="BodyText"/>
        <w:jc w:val="both"/>
        <w:rPr>
          <w:sz w:val="20"/>
        </w:rPr>
      </w:pPr>
      <w:r>
        <w:rPr>
          <w:sz w:val="20"/>
        </w:rPr>
        <w:t>Date:</w:t>
      </w:r>
    </w:p>
    <w:p>
      <w:pPr>
        <w:pStyle w:val="BodyText"/>
        <w:spacing w:before="0" w:after="120"/>
        <w:jc w:val="both"/>
        <w:rPr>
          <w:sz w:val="20"/>
        </w:rPr>
      </w:pPr>
      <w:r>
        <w:rPr>
          <w:sz w:val="20"/>
        </w:rPr>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72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cs="Times New Roman"/>
      <w:b w:val="false"/>
      <w:i w:val="false"/>
      <w:sz w:val="24"/>
      <w:u w:val="none"/>
    </w:rPr>
  </w:style>
  <w:style w:type="character" w:styleId="WW8Num24z2">
    <w:name w:val="WW8Num24z2"/>
    <w:qFormat/>
    <w:rPr>
      <w:rFonts w:ascii="Times New Roman" w:hAnsi="Times New Roman" w:cs="Times New Roman"/>
      <w:b w:val="false"/>
      <w:i w:val="false"/>
      <w:sz w:val="24"/>
    </w:rPr>
  </w:style>
  <w:style w:type="character" w:styleId="WW8Num24z5">
    <w:name w:val="WW8Num24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2001-06-08T17:24:00Z</dcterms:created>
  <dc:creator>jmoore2</dc:creator>
  <dc:description/>
  <dc:language>en-CA</dc:language>
  <cp:lastModifiedBy>dportz</cp:lastModifiedBy>
  <cp:lastPrinted>2001-06-08T17:15:00Z</cp:lastPrinted>
  <dcterms:modified xsi:type="dcterms:W3CDTF">2001-06-08T20:02:00Z</dcterms:modified>
  <cp:revision>27</cp:revision>
  <dc:subject/>
  <dc:title>MASTER POWER PURCHASE AND SALE AGREEMENT</dc:title>
</cp:coreProperties>
</file>