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MDEA AGREEMENT</w:t>
      </w:r>
    </w:p>
    <w:p>
      <w:pPr>
        <w:pStyle w:val="Normal"/>
        <w:rPr/>
      </w:pPr>
      <w:r>
        <w:rPr/>
        <w:t xml:space="preserve">     </w:t>
      </w:r>
      <w:r>
        <w:rPr/>
        <w:t>Comments w/ respect to Fuel Supply - Jim Homco</w:t>
      </w:r>
    </w:p>
    <w:p>
      <w:pPr>
        <w:pStyle w:val="Normal"/>
        <w:rPr/>
      </w:pPr>
      <w:r>
        <w:rPr/>
      </w:r>
    </w:p>
    <w:p>
      <w:pPr>
        <w:pStyle w:val="Normal"/>
        <w:numPr>
          <w:ilvl w:val="0"/>
          <w:numId w:val="1"/>
        </w:numPr>
        <w:rPr>
          <w:u w:val="single"/>
        </w:rPr>
      </w:pPr>
      <w:r>
        <w:rPr>
          <w:u w:val="single"/>
        </w:rPr>
        <w:t>Section 1 Definitions:  “Costs”</w:t>
      </w:r>
    </w:p>
    <w:p>
      <w:pPr>
        <w:pStyle w:val="Normal"/>
        <w:ind w:start="1440" w:end="0"/>
        <w:rPr/>
      </w:pPr>
      <w:r>
        <w:rPr/>
        <w:t>The State of Mississippi does collect a fuel use tax.</w:t>
      </w:r>
    </w:p>
    <w:p>
      <w:pPr>
        <w:pStyle w:val="Normal"/>
        <w:ind w:start="1440" w:end="0"/>
        <w:rPr/>
      </w:pPr>
      <w:r>
        <w:rPr/>
        <w:t>There will be applicable LDC commodity and annual demand charges imposed by Mississippi Valley Gas.</w:t>
      </w:r>
    </w:p>
    <w:p>
      <w:pPr>
        <w:pStyle w:val="Normal"/>
        <w:ind w:start="1440" w:end="0"/>
        <w:rPr/>
      </w:pPr>
      <w:r>
        <w:rPr/>
        <w:t>Both of these costs seem to be covered although not mentioned directly.</w:t>
      </w:r>
    </w:p>
    <w:p>
      <w:pPr>
        <w:pStyle w:val="Normal"/>
        <w:numPr>
          <w:ilvl w:val="0"/>
          <w:numId w:val="1"/>
        </w:numPr>
        <w:rPr>
          <w:u w:val="single"/>
        </w:rPr>
      </w:pPr>
      <w:r>
        <w:rPr>
          <w:u w:val="single"/>
        </w:rPr>
        <w:t>Section 1 Definitions:  “Fuel Costs”</w:t>
      </w:r>
    </w:p>
    <w:p>
      <w:pPr>
        <w:pStyle w:val="Normal"/>
        <w:ind w:start="1440" w:end="0"/>
        <w:rPr/>
      </w:pPr>
      <w:r>
        <w:rPr/>
        <w:t xml:space="preserve">“… </w:t>
      </w:r>
      <w:r>
        <w:rPr/>
        <w:t>Cost of all gas … less any revenues received as a result of any Fuel – Related Transaction” and subsequent definition of “Fuel – Related Transaction”.  Appears EPMI is giving up 100% of any fuel related profits, and consequently 100% of any arb opportunities in relation to fuel.  As this reads, the only revenue potential then for EPMI, with respect to fuel, would be to charge a fee for the gas management service, buried within the “delivered gas cost” (Exhibit XX).  Is this the intent?</w:t>
      </w:r>
    </w:p>
    <w:p>
      <w:pPr>
        <w:pStyle w:val="Normal"/>
        <w:numPr>
          <w:ilvl w:val="0"/>
          <w:numId w:val="1"/>
        </w:numPr>
        <w:rPr/>
      </w:pPr>
      <w:r>
        <w:rPr>
          <w:u w:val="single"/>
        </w:rPr>
        <w:t>Section 1 Definitions – General, and Exhibit XX</w:t>
      </w:r>
      <w:r>
        <w:rPr/>
        <w:t>:</w:t>
      </w:r>
    </w:p>
    <w:p>
      <w:pPr>
        <w:pStyle w:val="BodyTextIndent"/>
        <w:rPr/>
      </w:pPr>
      <w:r>
        <w:rPr/>
        <w:t xml:space="preserve">When speaking of fuel costs, it must be remembered that oil is also an option with several of the units.  I have discussed this with the respective Plant Managers, and I think it would be in the best interest of the parties to continue to let the respective Plant Managers contract for, and schedule the delivery of, oil.  EPMI gains no benefit, nor can offer any potential savings in relation to the local distribution and trucking of oil in Mississippi.   </w:t>
      </w:r>
    </w:p>
    <w:p>
      <w:pPr>
        <w:pStyle w:val="BodyTextIndent"/>
        <w:rPr/>
      </w:pPr>
      <w:r>
        <w:rPr/>
        <w:t>In respect to this, if MDEA is contracting for delivery of oil, or if the Energy Coordinators determine that the most cost effective way of running the units is on oil versus gas, the following must be addressed:</w:t>
      </w:r>
    </w:p>
    <w:p>
      <w:pPr>
        <w:pStyle w:val="BodyTextIndent"/>
        <w:numPr>
          <w:ilvl w:val="0"/>
          <w:numId w:val="3"/>
        </w:numPr>
        <w:rPr/>
      </w:pPr>
      <w:r>
        <w:rPr/>
        <w:t>How shall the invoicing (costs) of oil be handled in relation to the “netting” procedures?</w:t>
      </w:r>
    </w:p>
    <w:p>
      <w:pPr>
        <w:pStyle w:val="BodyTextIndent"/>
        <w:numPr>
          <w:ilvl w:val="0"/>
          <w:numId w:val="3"/>
        </w:numPr>
        <w:rPr/>
      </w:pPr>
      <w:r>
        <w:rPr/>
        <w:t xml:space="preserve"> </w:t>
      </w:r>
      <w:r>
        <w:rPr/>
        <w:t>How shall the potential profits (cost savings of oil vs gas) be allocated?</w:t>
      </w:r>
    </w:p>
    <w:p>
      <w:pPr>
        <w:pStyle w:val="BodyTextIndent"/>
        <w:numPr>
          <w:ilvl w:val="0"/>
          <w:numId w:val="3"/>
        </w:numPr>
        <w:rPr/>
      </w:pPr>
      <w:r>
        <w:rPr/>
        <w:t>In respect to on site oil storage facilities both at Clarksdale and Yazoo, do we want to include these arb/profit opportunities in the deal?  Yazoo has storage capability equivalent to 6 to 7 days at full load.  Clarksdale has on site storage equivalent for over 7 days run at full load.  Both sites currently maintain storage at approximately half full.  Neither site has run commercially on oil in the past year – however it may be an option this summer, if gas supply tightens as it did this past winter.</w:t>
      </w:r>
    </w:p>
    <w:p>
      <w:pPr>
        <w:pStyle w:val="BodyTextIndent"/>
        <w:numPr>
          <w:ilvl w:val="0"/>
          <w:numId w:val="1"/>
        </w:numPr>
        <w:rPr>
          <w:u w:val="single"/>
        </w:rPr>
      </w:pPr>
      <w:r>
        <w:rPr>
          <w:u w:val="single"/>
        </w:rPr>
        <w:t xml:space="preserve">Section 11 Fuel Management Services: </w:t>
      </w:r>
    </w:p>
    <w:p>
      <w:pPr>
        <w:pStyle w:val="BodyTextIndent"/>
        <w:rPr/>
      </w:pPr>
      <w:r>
        <w:rPr/>
        <w:t xml:space="preserve">“… </w:t>
      </w:r>
      <w:r>
        <w:rPr/>
        <w:t>Current MDEA fuel contracts are listed on Exhibit [5].”  Exhibit [5] does not exist.  The only pertinent fuel contracts that I am aware of follow:</w:t>
      </w:r>
    </w:p>
    <w:p>
      <w:pPr>
        <w:pStyle w:val="BodyTextIndent"/>
        <w:numPr>
          <w:ilvl w:val="0"/>
          <w:numId w:val="2"/>
        </w:numPr>
        <w:rPr/>
      </w:pPr>
      <w:r>
        <w:rPr/>
        <w:t>Yazoo has a transportation agreement with Mississippi Valley Gas, the LDC that operates the delivery point off SONAT Pipeline.  I would like a copy of this agreement.</w:t>
      </w:r>
    </w:p>
    <w:p>
      <w:pPr>
        <w:pStyle w:val="BodyTextIndent"/>
        <w:numPr>
          <w:ilvl w:val="0"/>
          <w:numId w:val="2"/>
        </w:numPr>
        <w:rPr/>
      </w:pPr>
      <w:r>
        <w:rPr/>
        <w:t>Both Yazoo and Clarksdale may or may not have agreements for oil delivery…depending on how we determine to handle oil would determine the relevance of these agreements.</w:t>
      </w:r>
    </w:p>
    <w:p>
      <w:pPr>
        <w:pStyle w:val="BodyTextIndent"/>
        <w:numPr>
          <w:ilvl w:val="0"/>
          <w:numId w:val="2"/>
        </w:numPr>
        <w:rPr/>
      </w:pPr>
      <w:r>
        <w:rPr/>
        <w:t>Clarksdale has an SNS Service agreement with Texas Gas.   This agreement is either currently in their name or in the name of their present fuel manager.  EPMI will also require an SNS agreement with Texas Gas beginning on the start date of this agreement.  It would be nice to see the current agreement, in order to aid in the negotiations for the new agreement.   I am currently speaking with Texas Gas regarding the SNS service – and I will determine whether it would be preferential for the agreement to be in the name of EPMI or MDEA.</w:t>
      </w:r>
    </w:p>
    <w:p>
      <w:pPr>
        <w:pStyle w:val="BodyTextIndent"/>
        <w:numPr>
          <w:ilvl w:val="0"/>
          <w:numId w:val="2"/>
        </w:numPr>
        <w:rPr/>
      </w:pPr>
      <w:r>
        <w:rPr/>
        <w:t>Yazoo stated that they had no existing agreements with SONAT Pipeline.</w:t>
      </w:r>
    </w:p>
    <w:p>
      <w:pPr>
        <w:pStyle w:val="BodyTextIndent"/>
        <w:numPr>
          <w:ilvl w:val="0"/>
          <w:numId w:val="1"/>
        </w:numPr>
        <w:rPr/>
      </w:pPr>
      <w:r>
        <w:rPr>
          <w:u w:val="single"/>
        </w:rPr>
        <w:t>Section 7 Scheduling</w:t>
      </w:r>
      <w:r>
        <w:rPr/>
        <w:t>:</w:t>
      </w:r>
    </w:p>
    <w:p>
      <w:pPr>
        <w:pStyle w:val="BodyTextIndent"/>
        <w:rPr/>
      </w:pPr>
      <w:r>
        <w:rPr/>
        <w:t xml:space="preserve">The schedules/times represented </w:t>
      </w:r>
      <w:r>
        <w:rPr>
          <w:u w:val="single"/>
        </w:rPr>
        <w:t>are fine</w:t>
      </w:r>
      <w:r>
        <w:rPr/>
        <w:t xml:space="preserve"> in relation to optimal gas purchasing. </w:t>
      </w:r>
    </w:p>
    <w:p>
      <w:pPr>
        <w:pStyle w:val="BodyTextIndent"/>
        <w:numPr>
          <w:ilvl w:val="0"/>
          <w:numId w:val="1"/>
        </w:numPr>
        <w:rPr/>
      </w:pPr>
      <w:r>
        <w:rPr>
          <w:u w:val="single"/>
        </w:rPr>
        <w:t>Section 11 Fuel Management Services</w:t>
      </w:r>
      <w:r>
        <w:rPr/>
        <w:t>:</w:t>
      </w:r>
    </w:p>
    <w:p>
      <w:pPr>
        <w:pStyle w:val="BodyTextIndent"/>
        <w:rPr/>
      </w:pPr>
      <w:r>
        <w:rPr/>
        <w:t>Clarification on purchaser of gas…</w:t>
      </w:r>
    </w:p>
    <w:p>
      <w:pPr>
        <w:pStyle w:val="BodyTextIndent"/>
        <w:rPr/>
      </w:pPr>
      <w:r>
        <w:rPr/>
        <w:t xml:space="preserve">As interpreted – MDEA is the counter party on all gas purchases.  Ideally all purchases will be from ENA, so MDEA must have a </w:t>
      </w:r>
      <w:r>
        <w:rPr>
          <w:u w:val="single"/>
        </w:rPr>
        <w:t>master agreement</w:t>
      </w:r>
      <w:r>
        <w:rPr/>
        <w:t xml:space="preserve"> </w:t>
      </w:r>
      <w:r>
        <w:rPr>
          <w:u w:val="single"/>
        </w:rPr>
        <w:t>for gas with ENA</w:t>
      </w:r>
      <w:r>
        <w:rPr/>
        <w:t xml:space="preserve">, and subsequently must have </w:t>
      </w:r>
      <w:r>
        <w:rPr>
          <w:u w:val="single"/>
        </w:rPr>
        <w:t>credit approval from ENA</w:t>
      </w:r>
      <w:r>
        <w:rPr/>
        <w:t xml:space="preserve"> </w:t>
      </w:r>
      <w:r>
        <w:rPr>
          <w:u w:val="single"/>
        </w:rPr>
        <w:t>for the gas purchase</w:t>
      </w:r>
      <w:r>
        <w:rPr/>
        <w:t xml:space="preserve">, separate from the credit approval for this deal with EPMI. </w:t>
      </w:r>
    </w:p>
    <w:p>
      <w:pPr>
        <w:pStyle w:val="BodyTextIndent"/>
        <w:rPr/>
      </w:pPr>
      <w:r>
        <w:rPr/>
        <w:t>Also mentions existing fuel purchase contracts.  Are there any?</w:t>
      </w:r>
    </w:p>
    <w:p>
      <w:pPr>
        <w:pStyle w:val="BodyTextIndent"/>
        <w:numPr>
          <w:ilvl w:val="0"/>
          <w:numId w:val="1"/>
        </w:numPr>
        <w:rPr/>
      </w:pPr>
      <w:r>
        <w:rPr>
          <w:u w:val="single"/>
        </w:rPr>
        <w:t>Exhibit 1 Facilities</w:t>
      </w:r>
      <w:r>
        <w:rPr/>
        <w:t>:</w:t>
      </w:r>
    </w:p>
    <w:p>
      <w:pPr>
        <w:pStyle w:val="Normal"/>
        <w:ind w:start="1440" w:end="0"/>
        <w:rPr/>
      </w:pPr>
      <w:r>
        <w:rPr/>
        <w:t>Clarification on maximum MW and maximum Heat Rates...</w:t>
      </w:r>
    </w:p>
    <w:p>
      <w:pPr>
        <w:pStyle w:val="Normal"/>
        <w:ind w:start="1440" w:end="0"/>
        <w:rPr/>
      </w:pPr>
      <w:r>
        <w:rPr/>
        <w:t>There appears to be some difference between Exhibit 1 and the LOI distributed last week.  Maximum MW at maximum Heat Rate is required separately for Clarksdale and Yazoo so that a maximum hourly gas flow rate can be determined.</w:t>
      </w:r>
    </w:p>
    <w:p>
      <w:pPr>
        <w:pStyle w:val="Normal"/>
        <w:numPr>
          <w:ilvl w:val="0"/>
          <w:numId w:val="1"/>
        </w:numPr>
        <w:rPr/>
      </w:pPr>
      <w:r>
        <w:rPr>
          <w:u w:val="single"/>
        </w:rPr>
        <w:t>Exhibit XX</w:t>
      </w:r>
      <w:r>
        <w:rPr/>
        <w:t>:</w:t>
      </w:r>
    </w:p>
    <w:p>
      <w:pPr>
        <w:pStyle w:val="BodyTextIndent"/>
        <w:rPr/>
      </w:pPr>
      <w:r>
        <w:rPr/>
        <w:t>Production cost must also include delivered oil cost calculation and definition.</w:t>
      </w:r>
    </w:p>
    <w:p>
      <w:pPr>
        <w:pStyle w:val="BodyTextIndent"/>
        <w:rPr/>
      </w:pPr>
      <w:r>
        <w:rPr/>
        <w:t>Delivered gas cost will contain two pieces:</w:t>
      </w:r>
    </w:p>
    <w:p>
      <w:pPr>
        <w:pStyle w:val="BodyTextIndent"/>
        <w:ind w:start="2160" w:end="0"/>
        <w:rPr/>
      </w:pPr>
      <w:r>
        <w:rPr/>
        <w:t>The purchase price from the desk (at either a pooling point or at the gate) and the sum of all transport, balancing and management fees paid or charged by EPMI.</w:t>
      </w:r>
    </w:p>
    <w:p>
      <w:pPr>
        <w:pStyle w:val="BodyTextIndent"/>
        <w:ind w:start="2160" w:end="0"/>
        <w:rPr/>
      </w:pPr>
      <w:r>
        <w:rPr/>
        <w:t>I am currently negotiating a price from the desk for both a gate delivery and a common pooling point delivery for purchases made business day prior by 8:30am CST.   Any intraday purchases, (after 8:30am business day prior) will be at a daily-negotiated price.</w:t>
      </w:r>
    </w:p>
    <w:p>
      <w:pPr>
        <w:pStyle w:val="BodyTextIndent"/>
        <w:rPr/>
      </w:pPr>
      <w:r>
        <w:rPr/>
        <w:t>Further discussion is necessary regarding timing and method of determining “Production Costs”.</w:t>
      </w:r>
    </w:p>
    <w:p>
      <w:pPr>
        <w:pStyle w:val="BodyTextIndent"/>
        <w:rPr/>
      </w:pPr>
      <w:r>
        <w:rPr/>
      </w:r>
    </w:p>
    <w:p>
      <w:pPr>
        <w:pStyle w:val="BodyTextIndent"/>
        <w:ind w:start="2160" w:end="0"/>
        <w:rPr/>
      </w:pPr>
      <w:r>
        <w:rPr/>
        <w:t xml:space="preserve">  </w:t>
      </w:r>
    </w:p>
    <w:p>
      <w:pPr>
        <w:pStyle w:val="Normal"/>
        <w:ind w:start="1440" w:end="0"/>
        <w:rPr/>
      </w:pPr>
      <w:r>
        <w:rPr/>
      </w:r>
    </w:p>
    <w:p>
      <w:pPr>
        <w:pStyle w:val="Normal"/>
        <w:ind w:start="1440" w:end="0"/>
        <w:rPr/>
      </w:pPr>
      <w:r>
        <w:rPr/>
      </w:r>
    </w:p>
    <w:p>
      <w:pPr>
        <w:pStyle w:val="Normal"/>
        <w:ind w:start="144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Times New Roman" w:hAnsi="Times New Roman" w:cs="Times New Roman" w:hint="default"/>
      </w:rPr>
    </w:lvl>
  </w:abstractNum>
  <w:abstractNum w:abstractNumId="2">
    <w:lvl w:ilvl="0">
      <w:start w:val="1"/>
      <w:numFmt w:val="lowerLetter"/>
      <w:lvlText w:val="%1)"/>
      <w:lvlJc w:val="start"/>
      <w:pPr>
        <w:tabs>
          <w:tab w:val="num" w:pos="2520"/>
        </w:tabs>
        <w:ind w:start="2520" w:hanging="360"/>
      </w:pPr>
      <w:rPr/>
    </w:lvl>
  </w:abstractNum>
  <w:abstractNum w:abstractNumId="3">
    <w:lvl w:ilvl="0">
      <w:start w:val="1"/>
      <w:numFmt w:val="lowerLetter"/>
      <w:lvlText w:val="%1)"/>
      <w:lvlJc w:val="start"/>
      <w:pPr>
        <w:tabs>
          <w:tab w:val="num" w:pos="2520"/>
        </w:tabs>
        <w:ind w:start="252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2001-04-11T19:15:00Z</dcterms:created>
  <dc:creator>jhomco</dc:creator>
  <dc:description/>
  <dc:language>en-CA</dc:language>
  <cp:lastModifiedBy>jhomco</cp:lastModifiedBy>
  <dcterms:modified xsi:type="dcterms:W3CDTF">2001-04-11T21:19:00Z</dcterms:modified>
  <cp:revision>4</cp:revision>
  <dc:subject/>
  <dc:title>MDEA AGREEMENT</dc:title>
</cp:coreProperties>
</file>