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ind w:hanging="360" w:start="360" w:end="0"/>
        <w:rPr>
          <w:sz w:val="24"/>
        </w:rPr>
      </w:pPr>
      <w:r>
        <w:rPr>
          <w:sz w:val="24"/>
        </w:rPr>
        <w:t xml:space="preserve">Q.  </w:t>
        <w:tab/>
        <w:t>Please state your name and business address.</w:t>
      </w:r>
    </w:p>
    <w:p>
      <w:pPr>
        <w:pStyle w:val="Normal"/>
        <w:spacing w:lineRule="auto" w:line="360"/>
        <w:ind w:hanging="360" w:start="360" w:end="0"/>
        <w:rPr>
          <w:sz w:val="24"/>
        </w:rPr>
      </w:pPr>
      <w:r>
        <w:rPr>
          <w:sz w:val="24"/>
        </w:rPr>
        <w:t>A.</w:t>
        <w:tab/>
        <w:t>My name is Kathy L. McConn.  My business address is 1001 Louisiana Street, Houston, TX  77002.</w:t>
      </w:r>
    </w:p>
    <w:p>
      <w:pPr>
        <w:pStyle w:val="Heading4"/>
        <w:numPr>
          <w:ilvl w:val="0"/>
          <w:numId w:val="7"/>
        </w:numPr>
        <w:ind w:hanging="0" w:start="0"/>
        <w:rPr/>
      </w:pPr>
      <w:r>
        <w:rPr/>
        <w:t>By whom are you employed and what are your current responsibilities?</w:t>
      </w:r>
    </w:p>
    <w:p>
      <w:pPr>
        <w:pStyle w:val="Normal"/>
        <w:numPr>
          <w:ilvl w:val="0"/>
          <w:numId w:val="11"/>
        </w:numPr>
        <w:spacing w:lineRule="auto" w:line="360"/>
        <w:rPr>
          <w:sz w:val="24"/>
        </w:rPr>
      </w:pPr>
      <w:r>
        <w:rPr>
          <w:sz w:val="24"/>
        </w:rPr>
        <w:t>I am employed by El Paso Energy Corp. in the capacity of State Regulatory Consultant in the Law Department.  My responsibilities include research and analyses of the regulatory structure and environment in El Paso Natural Gas Company’s market area.</w:t>
      </w:r>
    </w:p>
    <w:p>
      <w:pPr>
        <w:pStyle w:val="Normal"/>
        <w:numPr>
          <w:ilvl w:val="0"/>
          <w:numId w:val="21"/>
        </w:numPr>
        <w:spacing w:lineRule="auto" w:line="360"/>
        <w:rPr>
          <w:sz w:val="24"/>
        </w:rPr>
      </w:pPr>
      <w:r>
        <w:rPr>
          <w:sz w:val="24"/>
        </w:rPr>
        <w:t>Please describe your educational and professional background.</w:t>
      </w:r>
    </w:p>
    <w:p>
      <w:pPr>
        <w:pStyle w:val="Normal"/>
        <w:numPr>
          <w:ilvl w:val="0"/>
          <w:numId w:val="12"/>
        </w:numPr>
        <w:spacing w:lineRule="auto" w:line="360"/>
        <w:rPr>
          <w:sz w:val="24"/>
        </w:rPr>
      </w:pPr>
      <w:r>
        <w:rPr>
          <w:sz w:val="24"/>
        </w:rPr>
        <w:t xml:space="preserve">I received a Bachelor of Business Administration Degree in Economics from the University of Texas at El Paso in December 1977.  I began working for El Paso Natural Gas Company in January 1978 in the Economics and Forecast Department.  I later held positions of increasing responsibility in other areas of the Company including Market and Supply Analysis, and Rates and Planning.  In April 1998, I moved to Houston to assume the position of Manager in the State Government Affairs Department for El Paso Energy.  I assumed my current position in mid-1999. </w:t>
      </w:r>
    </w:p>
    <w:p>
      <w:pPr>
        <w:pStyle w:val="BodyText"/>
        <w:numPr>
          <w:ilvl w:val="0"/>
          <w:numId w:val="16"/>
        </w:numPr>
        <w:spacing w:lineRule="auto" w:line="360"/>
        <w:rPr>
          <w:sz w:val="24"/>
        </w:rPr>
      </w:pPr>
      <w:r>
        <w:rPr>
          <w:sz w:val="24"/>
        </w:rPr>
        <w:t>What is the purpose of your testimony?</w:t>
      </w:r>
    </w:p>
    <w:p>
      <w:pPr>
        <w:pStyle w:val="BodyText"/>
        <w:numPr>
          <w:ilvl w:val="0"/>
          <w:numId w:val="20"/>
        </w:numPr>
        <w:spacing w:lineRule="auto" w:line="360"/>
        <w:rPr>
          <w:sz w:val="24"/>
        </w:rPr>
      </w:pPr>
      <w:r>
        <w:rPr>
          <w:sz w:val="24"/>
        </w:rPr>
        <w:t xml:space="preserve">I am testifying on behalf of El Paso Natural Gas Company (EPNG) for the purpose of rebutting the testimony of Richard C. Hall, offered on behalf of Pacific Gas and Electric Company (PG&amp;E), in support of the provision of the Interim Settlement providing for the expansion of capacity at Southern California Gas Company’s (SoCalGas’) Wheeler Ridge receipt point.  As I explain more fully in the testimony that follows, EPNG opposes this provision for several reasons.  First, no justification has been provided for the expansion of Wheeler Ridge.  Second, there is no similar provision in the Interim Settlement for expansion of any of any other receipt point and no justification has been offered for the preferential treatment of an expansion of Wheeler Ridge. And third, expansions of SoCalGas’ intrastate gas transmission system are beyond the scope of this proceeding.  EPNG recommends that, if the Commission is inclined to approve the Interim Settlement, it should do so only if this special provision for expansion of Wheeler Ridge is eliminated.  </w:t>
      </w:r>
    </w:p>
    <w:p>
      <w:pPr>
        <w:pStyle w:val="BodyText"/>
        <w:spacing w:lineRule="auto" w:line="360"/>
        <w:rPr>
          <w:sz w:val="24"/>
        </w:rPr>
      </w:pPr>
      <w:r>
        <w:rPr>
          <w:sz w:val="24"/>
        </w:rPr>
      </w:r>
    </w:p>
    <w:p>
      <w:pPr>
        <w:pStyle w:val="BodyText"/>
        <w:numPr>
          <w:ilvl w:val="0"/>
          <w:numId w:val="14"/>
        </w:numPr>
        <w:spacing w:lineRule="auto" w:line="360"/>
        <w:rPr>
          <w:sz w:val="24"/>
        </w:rPr>
      </w:pPr>
      <w:r>
        <w:rPr>
          <w:sz w:val="24"/>
        </w:rPr>
        <w:t>Is EPNG signatory to any of the settlements currently pending for SoCalGas’ system?</w:t>
      </w:r>
    </w:p>
    <w:p>
      <w:pPr>
        <w:pStyle w:val="BodyText"/>
        <w:numPr>
          <w:ilvl w:val="0"/>
          <w:numId w:val="3"/>
        </w:numPr>
        <w:spacing w:lineRule="auto" w:line="360"/>
        <w:rPr>
          <w:sz w:val="24"/>
        </w:rPr>
      </w:pPr>
      <w:r>
        <w:rPr>
          <w:sz w:val="24"/>
        </w:rPr>
        <w:t xml:space="preserve">No. EPNG participated in negotiations that led to the pending settlements in the interest of ensuring that SoCalGas’ intrastate system is restructured in a manner that promotes competition on a fair and equitable basis and that no one supply source or receipt point is given undue preference or advantage over others.  In short, EPNG wanted to assure that its shippers would not be disadvantaged vis a vis shippers using other transportation service providers in competing to serve the California market.  EPNG is not a signatory to any of the three settlements currently pending.  However, since the settlements were filed, El Paso has further considered the settlements and has determined to support the Comprehensive Settlement.  As EPNG informed ALJ Biren and all parties to this proceeding in a letter dated May 4, 2000, El Paso believes that the Comprehensive Settlement contains a number of tradeoffs which generally reflect a reasonable compromise of competing interests.  It is responsive to the Commission’s decision identifying “promising options” for restructuring the intrastate California natural gas market and should provide increased certainty to shippers requiring intrastate transportation to provide cost-effective and competitive natural gas services to the California market. </w:t>
      </w:r>
    </w:p>
    <w:p>
      <w:pPr>
        <w:pStyle w:val="BodyText"/>
        <w:numPr>
          <w:ilvl w:val="0"/>
          <w:numId w:val="15"/>
        </w:numPr>
        <w:spacing w:lineRule="auto" w:line="360"/>
        <w:rPr>
          <w:sz w:val="24"/>
        </w:rPr>
      </w:pPr>
      <w:r>
        <w:rPr>
          <w:sz w:val="24"/>
        </w:rPr>
        <w:t>Please describe the provision of the Interim Settlement to which EPNG objects.</w:t>
      </w:r>
    </w:p>
    <w:p>
      <w:pPr>
        <w:pStyle w:val="BodyText"/>
        <w:numPr>
          <w:ilvl w:val="0"/>
          <w:numId w:val="6"/>
        </w:numPr>
        <w:spacing w:lineRule="auto" w:line="360"/>
        <w:rPr>
          <w:sz w:val="24"/>
        </w:rPr>
      </w:pPr>
      <w:r>
        <w:rPr>
          <w:sz w:val="24"/>
        </w:rPr>
        <w:t>Section III, pages 7 to 8, of the Interim Settlement contains a special provision for the expansion of SoCalGas’ Wheeler Ridge receipt point.  Under this provision, SoCalGas would expand its capacity to receive gas at Wheeler Ridge, apparently without any further review or approval by the Commission, if certain criteria are met.  At page 8, the Interim Settlement states, “SoCalGas will construct additional facilities providing a 100 MMcf/d expansion of its Wheeler Ridge receipt point capacity if the criteria set forth is Appendix A are met.”  Appendix A contains the following criteria:</w:t>
      </w:r>
    </w:p>
    <w:p>
      <w:pPr>
        <w:pStyle w:val="BodyText"/>
        <w:spacing w:lineRule="auto" w:line="360"/>
        <w:rPr>
          <w:sz w:val="24"/>
        </w:rPr>
      </w:pPr>
      <w:r>
        <w:rPr>
          <w:sz w:val="24"/>
        </w:rPr>
      </w:r>
    </w:p>
    <w:p>
      <w:pPr>
        <w:pStyle w:val="BodyText"/>
        <w:spacing w:lineRule="auto" w:line="360"/>
        <w:ind w:start="720" w:end="720"/>
        <w:rPr>
          <w:sz w:val="24"/>
        </w:rPr>
      </w:pPr>
      <w:r>
        <w:rPr>
          <w:sz w:val="24"/>
        </w:rPr>
        <w:t>“</w:t>
      </w:r>
      <w:r>
        <w:rPr>
          <w:sz w:val="24"/>
        </w:rPr>
        <w:t>If the confirmed nominations from upstream pipelines and/or suppliers for deliveries at Wheeler Ridge, up to a maximum of 780 MMcf/d, are cut by more than 5%, less any unutilized firm capacity (the 50 MMcf/d) at Hector Road, on 60 days or more in any consecutive 12-month period, the settlement parties agree to support a 100 MMcf/d expansion of Wheeler Ridge firm capacity.”</w:t>
      </w:r>
    </w:p>
    <w:p>
      <w:pPr>
        <w:pStyle w:val="BodyText"/>
        <w:spacing w:lineRule="auto" w:line="360"/>
        <w:ind w:start="720" w:end="720"/>
        <w:rPr>
          <w:sz w:val="24"/>
        </w:rPr>
      </w:pPr>
      <w:r>
        <w:rPr>
          <w:sz w:val="24"/>
        </w:rPr>
      </w:r>
    </w:p>
    <w:p>
      <w:pPr>
        <w:pStyle w:val="BodyText"/>
        <w:spacing w:lineRule="auto" w:line="360"/>
        <w:ind w:start="360" w:end="0"/>
        <w:rPr>
          <w:sz w:val="24"/>
        </w:rPr>
      </w:pPr>
      <w:r>
        <w:rPr>
          <w:sz w:val="24"/>
        </w:rPr>
        <w:t xml:space="preserve">The Interim Settlement would also prejudge the reasonableness of the costs of such an expansion and the ratemaking treatment of the cost of the expansion.  It specifically states, “...the Commission shall allow SoCalGas to reflect the revenue requirement associated with any such future expansion in rates as of the date the expansion goes into service...”  Interim Settlement, page 8.  It further states that the cost of any such expansion would be rolled into the transportation rates SoCalGas charges all of its customers and could not be recovered on an incremental basis from shippers using the Wheeler Ridge expansion.  Interim Settlement, page 8.  </w:t>
      </w:r>
    </w:p>
    <w:p>
      <w:pPr>
        <w:pStyle w:val="BodyText"/>
        <w:numPr>
          <w:ilvl w:val="0"/>
          <w:numId w:val="22"/>
        </w:numPr>
        <w:spacing w:lineRule="auto" w:line="360"/>
        <w:ind w:hanging="360" w:start="360" w:end="720"/>
        <w:rPr>
          <w:sz w:val="24"/>
        </w:rPr>
      </w:pPr>
      <w:r>
        <w:rPr>
          <w:sz w:val="24"/>
        </w:rPr>
        <w:t>On what grounds does EPNG object to this provision?</w:t>
      </w:r>
    </w:p>
    <w:p>
      <w:pPr>
        <w:pStyle w:val="BodyText"/>
        <w:numPr>
          <w:ilvl w:val="0"/>
          <w:numId w:val="4"/>
        </w:numPr>
        <w:spacing w:lineRule="auto" w:line="360"/>
        <w:rPr>
          <w:sz w:val="24"/>
        </w:rPr>
      </w:pPr>
      <w:r>
        <w:rPr>
          <w:sz w:val="24"/>
        </w:rPr>
        <w:t xml:space="preserve">EPNG objects to this provision on several grounds.  First, no justification has been provided for expanding receipt point capacity on SoCalGas’ system in general or at Wheeler Ridge in particular.  As a result, the Commission is without any record concerning the market support  or need for such an expansion, or the impact such an expansion would have on the balance of SoCalGas’ system or on its ratepayers.  Second, no justification has been provided, or can be provided, for giving preferential treatment, through a predetermined commitment to an expansion of one receipt point, over an expansion of any other receipt point on SoCalGas’ system.  Wheeler Ridge is but one of seven receipt points at which gas enters the SoCalGas system, as shown in the table below: </w:t>
      </w:r>
    </w:p>
    <w:p>
      <w:pPr>
        <w:pStyle w:val="BodyText"/>
        <w:spacing w:lineRule="auto" w:line="360"/>
        <w:jc w:val="center"/>
        <w:rPr>
          <w:b/>
          <w:sz w:val="24"/>
          <w:u w:val="single"/>
        </w:rPr>
      </w:pPr>
      <w:r>
        <w:rPr>
          <w:b/>
          <w:sz w:val="24"/>
          <w:u w:val="single"/>
        </w:rPr>
        <w:t>SoCalGas Receipt Points</w:t>
      </w:r>
    </w:p>
    <w:p>
      <w:pPr>
        <w:pStyle w:val="BodyText"/>
        <w:spacing w:lineRule="auto" w:line="360"/>
        <w:ind w:end="-720"/>
        <w:rPr>
          <w:b/>
          <w:sz w:val="24"/>
          <w:u w:val="single"/>
        </w:rPr>
      </w:pPr>
      <w:r>
        <w:rPr>
          <w:b/>
          <w:sz w:val="24"/>
          <w:u w:val="single"/>
        </w:rPr>
      </w:r>
    </w:p>
    <w:tbl>
      <w:tblPr>
        <w:tblW w:w="6660" w:type="dxa"/>
        <w:jc w:val="start"/>
        <w:tblInd w:w="1008" w:type="dxa"/>
        <w:tblLayout w:type="fixed"/>
        <w:tblCellMar>
          <w:top w:w="0" w:type="dxa"/>
          <w:start w:w="108" w:type="dxa"/>
          <w:bottom w:w="0" w:type="dxa"/>
          <w:end w:w="108" w:type="dxa"/>
        </w:tblCellMar>
      </w:tblPr>
      <w:tblGrid>
        <w:gridCol w:w="1944"/>
        <w:gridCol w:w="2952"/>
        <w:gridCol w:w="1764"/>
      </w:tblGrid>
      <w:tr>
        <w:trPr/>
        <w:tc>
          <w:tcPr>
            <w:tcW w:w="1944" w:type="dxa"/>
            <w:tcBorders>
              <w:top w:val="single" w:sz="4" w:space="0" w:color="000000"/>
              <w:start w:val="single" w:sz="4" w:space="0" w:color="000000"/>
              <w:bottom w:val="single" w:sz="4" w:space="0" w:color="000000"/>
              <w:end w:val="single" w:sz="4" w:space="0" w:color="000000"/>
            </w:tcBorders>
          </w:tcPr>
          <w:p>
            <w:pPr>
              <w:pStyle w:val="Normal"/>
              <w:rPr>
                <w:sz w:val="22"/>
                <w:u w:val="single"/>
              </w:rPr>
            </w:pPr>
            <w:r>
              <w:rPr>
                <w:sz w:val="22"/>
                <w:u w:val="single"/>
              </w:rPr>
              <w:t>Receipt Point</w:t>
            </w:r>
          </w:p>
        </w:tc>
        <w:tc>
          <w:tcPr>
            <w:tcW w:w="2952" w:type="dxa"/>
            <w:tcBorders>
              <w:top w:val="single" w:sz="4" w:space="0" w:color="000000"/>
              <w:start w:val="single" w:sz="4" w:space="0" w:color="000000"/>
              <w:bottom w:val="single" w:sz="4" w:space="0" w:color="000000"/>
              <w:end w:val="single" w:sz="4" w:space="0" w:color="000000"/>
            </w:tcBorders>
          </w:tcPr>
          <w:p>
            <w:pPr>
              <w:pStyle w:val="Heading1"/>
              <w:ind w:hanging="0" w:start="0"/>
              <w:jc w:val="start"/>
              <w:rPr/>
            </w:pPr>
            <w:r>
              <w:rPr/>
              <w:t>Interconnecting Pipeline</w:t>
            </w:r>
          </w:p>
        </w:tc>
        <w:tc>
          <w:tcPr>
            <w:tcW w:w="1764" w:type="dxa"/>
            <w:tcBorders>
              <w:top w:val="single" w:sz="4" w:space="0" w:color="000000"/>
              <w:start w:val="single" w:sz="4" w:space="0" w:color="000000"/>
              <w:bottom w:val="single" w:sz="4" w:space="0" w:color="000000"/>
              <w:end w:val="single" w:sz="4" w:space="0" w:color="000000"/>
            </w:tcBorders>
          </w:tcPr>
          <w:p>
            <w:pPr>
              <w:pStyle w:val="Heading1"/>
              <w:ind w:hanging="0" w:start="0"/>
              <w:jc w:val="start"/>
              <w:rPr/>
            </w:pPr>
            <w:r>
              <w:rPr/>
              <w:t>Firm Capacity</w:t>
            </w:r>
          </w:p>
          <w:p>
            <w:pPr>
              <w:pStyle w:val="Normal"/>
              <w:rPr>
                <w:sz w:val="22"/>
              </w:rPr>
            </w:pPr>
            <w:r>
              <w:rPr>
                <w:sz w:val="22"/>
              </w:rPr>
              <w:t>(MMcf/d)</w:t>
            </w:r>
          </w:p>
        </w:tc>
      </w:tr>
      <w:tr>
        <w:trPr/>
        <w:tc>
          <w:tcPr>
            <w:tcW w:w="1944"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Blythe</w:t>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El Paso</w:t>
            </w:r>
          </w:p>
        </w:tc>
        <w:tc>
          <w:tcPr>
            <w:tcW w:w="1764"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1210</w:t>
            </w:r>
          </w:p>
        </w:tc>
      </w:tr>
      <w:tr>
        <w:trPr/>
        <w:tc>
          <w:tcPr>
            <w:tcW w:w="1944"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Topock</w:t>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El Paso</w:t>
            </w:r>
          </w:p>
        </w:tc>
        <w:tc>
          <w:tcPr>
            <w:tcW w:w="1764"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540</w:t>
            </w:r>
          </w:p>
        </w:tc>
      </w:tr>
      <w:tr>
        <w:trPr/>
        <w:tc>
          <w:tcPr>
            <w:tcW w:w="1944"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North Needles</w:t>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Transwestern</w:t>
            </w:r>
          </w:p>
        </w:tc>
        <w:tc>
          <w:tcPr>
            <w:tcW w:w="1764"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750</w:t>
            </w:r>
          </w:p>
        </w:tc>
      </w:tr>
      <w:tr>
        <w:trPr/>
        <w:tc>
          <w:tcPr>
            <w:tcW w:w="1944"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Wheeler Ridge</w:t>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PG&amp;E, Oxy, Kern/Mojave</w:t>
            </w:r>
          </w:p>
        </w:tc>
        <w:tc>
          <w:tcPr>
            <w:tcW w:w="1764"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680</w:t>
            </w:r>
          </w:p>
        </w:tc>
      </w:tr>
      <w:tr>
        <w:trPr/>
        <w:tc>
          <w:tcPr>
            <w:tcW w:w="1944"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Hector Road</w:t>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Mojave</w:t>
            </w:r>
          </w:p>
        </w:tc>
        <w:tc>
          <w:tcPr>
            <w:tcW w:w="1764"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50</w:t>
            </w:r>
          </w:p>
        </w:tc>
      </w:tr>
      <w:tr>
        <w:trPr/>
        <w:tc>
          <w:tcPr>
            <w:tcW w:w="1944"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California Line 85</w:t>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Various California Producers</w:t>
            </w:r>
          </w:p>
        </w:tc>
        <w:tc>
          <w:tcPr>
            <w:tcW w:w="1764"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150</w:t>
            </w:r>
          </w:p>
        </w:tc>
      </w:tr>
      <w:tr>
        <w:trPr/>
        <w:tc>
          <w:tcPr>
            <w:tcW w:w="1944"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North Coastal</w:t>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Various California Producers</w:t>
            </w:r>
          </w:p>
        </w:tc>
        <w:tc>
          <w:tcPr>
            <w:tcW w:w="1764"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120</w:t>
            </w:r>
          </w:p>
        </w:tc>
      </w:tr>
      <w:tr>
        <w:trPr/>
        <w:tc>
          <w:tcPr>
            <w:tcW w:w="1944"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Total</w:t>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c>
          <w:tcPr>
            <w:tcW w:w="1764"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3500</w:t>
            </w:r>
          </w:p>
        </w:tc>
      </w:tr>
    </w:tbl>
    <w:p>
      <w:pPr>
        <w:pStyle w:val="Normal"/>
        <w:rPr>
          <w:sz w:val="24"/>
        </w:rPr>
      </w:pPr>
      <w:r>
        <w:rPr>
          <w:sz w:val="24"/>
        </w:rPr>
      </w:r>
    </w:p>
    <w:p>
      <w:pPr>
        <w:pStyle w:val="BodyText"/>
        <w:spacing w:lineRule="auto" w:line="360"/>
        <w:ind w:start="432" w:end="432"/>
        <w:rPr>
          <w:sz w:val="24"/>
        </w:rPr>
      </w:pPr>
      <w:r>
        <w:rPr>
          <w:sz w:val="24"/>
        </w:rPr>
        <w:t xml:space="preserve">The Interim Settlement contains a special provision for expansion of Wheeler Ridge, but does not contain any similar provision or criteria for expansion of any of the other six SoCalGas receipt points.  There is nothing, however, that sets Wheeler Ridge apart from any other receipt point and, therefore, no reason for treating Wheeler Ridge any differently than other receipt points.  </w:t>
      </w:r>
    </w:p>
    <w:p>
      <w:pPr>
        <w:pStyle w:val="Normal"/>
        <w:numPr>
          <w:ilvl w:val="0"/>
          <w:numId w:val="23"/>
        </w:numPr>
        <w:spacing w:lineRule="auto" w:line="360"/>
        <w:rPr>
          <w:sz w:val="24"/>
        </w:rPr>
      </w:pPr>
      <w:r>
        <w:rPr>
          <w:sz w:val="24"/>
        </w:rPr>
        <w:t>Have supporters of the Interim Settlement offered any rationale for this provision?</w:t>
      </w:r>
    </w:p>
    <w:p>
      <w:pPr>
        <w:pStyle w:val="Normal"/>
        <w:numPr>
          <w:ilvl w:val="0"/>
          <w:numId w:val="19"/>
        </w:numPr>
        <w:spacing w:lineRule="auto" w:line="360"/>
        <w:rPr>
          <w:sz w:val="24"/>
        </w:rPr>
      </w:pPr>
      <w:r>
        <w:rPr>
          <w:sz w:val="24"/>
        </w:rPr>
        <w:t xml:space="preserve">Yes. In the testimony of Richard C. Hall, PG&amp;E states that the expansion criteria are appropriate under the Interim Settlement because the Interim Settlement would not create firm, unbundled capacity rights.  Mr. Hall goes on to say that, absent the creation of firm capacity rights, market participants cannot effectively signal the need for additional capacity.  There are at least two critical flaws in this reasoning.  First, Mr. Hall is correct in stating that the Interim Settlement would not create firm, unbundled capacity rights, but he fails to take into account the fact that it would not create such rights at </w:t>
      </w:r>
      <w:r>
        <w:rPr>
          <w:i/>
          <w:sz w:val="24"/>
        </w:rPr>
        <w:t xml:space="preserve">any </w:t>
      </w:r>
      <w:r>
        <w:rPr>
          <w:sz w:val="24"/>
        </w:rPr>
        <w:t>of SoCalGas’ receipt points.  If the absence of firm, unbundled capacity rights at Wheeler Ridge makes criteria for expansion necessary at Wheeler Ridge, then the absence of such rights at the other six SoCalGas receipt points should make expansion criteria equally necessary at these receipt points as well.  This rationale provides no justification whatsoever for a special provision providing for preferential treatment of an expansion at Wheeler Ridge.  Second, this argument fails to provide any basis for supporting the Interim Settlement in preference to the Comprehensive Settlement.  PG&amp;E attempts to justify the expansion of Wheeler Ridge on grounds that the Interim Settlement does not provide for the establishment of firm, unbundled capacity rights and therefore would not permit the necessary price signals to be sent.  But, the Comprehensive Settlement would establish such rights and would permit the price signals PG&amp;E believes necessary to be sent.  As a result, if the Commission is inclined to adopt the Comprehensive Settlement, the sole basis upon which PG&amp;E has urged adoption of the provision for expansion of Wheeler Ridge, and the entire underpinning of its argument, vanishes.  PG&amp;E has conceded this point.  At page 3 of his testimony, Mr. Hall states, “Although PG&amp;E considers the Wheeler Ridge expansion criteria to be a significant benefit, PG&amp;E believes that creation of firm, unbundled transmission rights on the SoCalGas’ system -- the long-term solution proposed in the Comprehensive Settlement -- will create the necessary price signals for expansion of the Wheeler Ridge receipt point.”</w:t>
      </w:r>
    </w:p>
    <w:p>
      <w:pPr>
        <w:pStyle w:val="Normal"/>
        <w:numPr>
          <w:ilvl w:val="0"/>
          <w:numId w:val="13"/>
        </w:numPr>
        <w:spacing w:lineRule="auto" w:line="360"/>
        <w:rPr>
          <w:sz w:val="24"/>
        </w:rPr>
      </w:pPr>
      <w:r>
        <w:rPr>
          <w:sz w:val="24"/>
        </w:rPr>
        <w:t xml:space="preserve">Does EPNG propose that similar expansion criteria be established for the other six receipt points on the SoCalGas system?  </w:t>
      </w:r>
    </w:p>
    <w:p>
      <w:pPr>
        <w:pStyle w:val="Normal"/>
        <w:numPr>
          <w:ilvl w:val="0"/>
          <w:numId w:val="9"/>
        </w:numPr>
        <w:spacing w:lineRule="auto" w:line="360"/>
        <w:rPr>
          <w:sz w:val="24"/>
        </w:rPr>
      </w:pPr>
      <w:r>
        <w:rPr>
          <w:sz w:val="24"/>
        </w:rPr>
        <w:t xml:space="preserve">No.  Setting similar criteria for the expansion of other receipt points would eliminate the preferential treatment of Wheeler Ridge, but would simply compound other problems.  The Commission has no basis for setting such criteria and, more importantly, there is simply no reason to prejudge where, at what cost, and under which rate treatment, expansions should be constructed on the SoCalGas system.  Expansions should be reviewed on a case-by-case basis in light of the facts and circumstances existing at the time specific expansions are proposed.  The cost of expansions and resulting rate treatment for expansion costs should also be considered on a case-by-case basis.  These case-by-case reviews should be made in the context of conditions that exist at the time, rather than being predetermined without the benefit of consideration of conditions which may have changed since predetermined criteria was established.  Rather than set predetermined criteria for expansions at every receipt point on SoCalGas’ system, it would be far more prudent to simply retain existing Commission policies and procedures pertaining to the review and approval of intrastate transmission capacity expansions and apply these policies and procedures uniformly to all receipt points, if and when specific expansions are proposed.  </w:t>
      </w:r>
    </w:p>
    <w:p>
      <w:pPr>
        <w:pStyle w:val="Normal"/>
        <w:numPr>
          <w:ilvl w:val="0"/>
          <w:numId w:val="5"/>
        </w:numPr>
        <w:spacing w:lineRule="auto" w:line="360"/>
        <w:rPr>
          <w:sz w:val="24"/>
        </w:rPr>
      </w:pPr>
      <w:r>
        <w:rPr>
          <w:sz w:val="24"/>
        </w:rPr>
        <w:t xml:space="preserve">Are there any other grounds on which EPNG opposes the special provision and criteria for expansion of Wheeler Ridge?  </w:t>
      </w:r>
    </w:p>
    <w:p>
      <w:pPr>
        <w:pStyle w:val="Normal"/>
        <w:numPr>
          <w:ilvl w:val="0"/>
          <w:numId w:val="10"/>
        </w:numPr>
        <w:spacing w:lineRule="auto" w:line="360"/>
        <w:rPr>
          <w:sz w:val="24"/>
        </w:rPr>
      </w:pPr>
      <w:r>
        <w:rPr>
          <w:sz w:val="24"/>
        </w:rPr>
        <w:t xml:space="preserve">Yes, this issue is beyond the scope of this proceeding.  Neither receipt point capacity expansions in general, nor the expansion of Wheeler Ridge were among the “promising options” set out by the Commission for further consideration and cost/benefit analysis in this proceeding.  The Commission never indicated that intrastate expansions of any kind were to be considered in this proceeding.  Therefore, the provision of the Interim Settlement providing for expansion of Wheeler Ridge and testimony in support of this provision are simply beyond the scope of this proceeding.  The testimony of Mr. Florio, Mr. Weil and Ms. Yap in support of the Interim Settlement implies that this provision is in response to a concern raised by the Commission in D.99-07-015, but a review of the relevant portion of the decision to which they refer shows that this is not the case.  The portion of the decision to which they have referred pertains to the uncertainty of deliveries through Wheeler Ridge that result from SoCalGas’ “windowing procedures.”  The decision does not address or discuss the amount of capacity at Wheeler Ridge or the need for an expansion of receipt point capacity.  </w:t>
      </w:r>
    </w:p>
    <w:p>
      <w:pPr>
        <w:pStyle w:val="Normal"/>
        <w:numPr>
          <w:ilvl w:val="0"/>
          <w:numId w:val="17"/>
        </w:numPr>
        <w:spacing w:lineRule="auto" w:line="360"/>
        <w:rPr>
          <w:sz w:val="24"/>
        </w:rPr>
      </w:pPr>
      <w:r>
        <w:rPr>
          <w:sz w:val="24"/>
        </w:rPr>
        <w:t xml:space="preserve">In supporting the Interim Settlement, including the Wheeler Ridge expansion criteria provisions, does PG&amp;E oppose the implementation of more comprehensive reforms than those proposed in the Interim Settlement? </w:t>
      </w:r>
    </w:p>
    <w:p>
      <w:pPr>
        <w:pStyle w:val="Normal"/>
        <w:numPr>
          <w:ilvl w:val="0"/>
          <w:numId w:val="8"/>
        </w:numPr>
        <w:spacing w:lineRule="auto" w:line="360"/>
        <w:rPr>
          <w:sz w:val="24"/>
        </w:rPr>
      </w:pPr>
      <w:r>
        <w:rPr>
          <w:sz w:val="24"/>
        </w:rPr>
        <w:t xml:space="preserve">No.  In fact, PG&amp;E has taken the position that the solutions proposed in the Interim Settlement, as the name of the settlement implies, </w:t>
      </w:r>
      <w:r>
        <w:rPr>
          <w:i/>
          <w:sz w:val="24"/>
        </w:rPr>
        <w:t>should be</w:t>
      </w:r>
      <w:r>
        <w:rPr>
          <w:sz w:val="24"/>
        </w:rPr>
        <w:t xml:space="preserve"> interim in nature, pending resolution of longer-term transmission unbundling issues on SoCalGas’ system.  At page 3 of his testimony, Mr. Hall states that PG&amp;E supports the creation of firm transmission rights as a long-term solution to SoCalGas’ receipt point access problems.  A provision, such as the provision for expansion for Wheeler Ridge, that could result in a long-term change (i.e., the addition of capacity at an isolated place on the SoCalGas system) is fundamentally inconsistent with the very nature of the Interim Settlement as “interim” and “short-term.” </w:t>
      </w:r>
    </w:p>
    <w:p>
      <w:pPr>
        <w:pStyle w:val="Normal"/>
        <w:numPr>
          <w:ilvl w:val="0"/>
          <w:numId w:val="18"/>
        </w:numPr>
        <w:spacing w:lineRule="auto" w:line="360"/>
        <w:rPr>
          <w:sz w:val="24"/>
        </w:rPr>
      </w:pPr>
      <w:r>
        <w:rPr>
          <w:sz w:val="24"/>
        </w:rPr>
        <w:t xml:space="preserve">Does this conclude your rebuttal testimony?  </w:t>
      </w:r>
    </w:p>
    <w:p>
      <w:pPr>
        <w:pStyle w:val="Normal"/>
        <w:numPr>
          <w:ilvl w:val="0"/>
          <w:numId w:val="2"/>
        </w:numPr>
        <w:spacing w:lineRule="auto" w:line="360"/>
        <w:rPr>
          <w:sz w:val="24"/>
        </w:rPr>
      </w:pPr>
      <w:r>
        <w:rPr>
          <w:sz w:val="24"/>
        </w:rPr>
        <w:t xml:space="preserve">Yes, it does.  </w:t>
      </w:r>
    </w:p>
    <w:p>
      <w:pPr>
        <w:pStyle w:val="Normal"/>
        <w:spacing w:lineRule="auto" w:line="360"/>
        <w:jc w:val="center"/>
        <w:rPr>
          <w:sz w:val="24"/>
        </w:rPr>
      </w:pPr>
      <w:r>
        <w:rPr>
          <w:sz w:val="24"/>
        </w:rPr>
      </w:r>
    </w:p>
    <w:sectPr>
      <w:footerReference w:type="default" r:id="rId2"/>
      <w:type w:val="nextPage"/>
      <w:pgSz w:w="12240" w:h="15840"/>
      <w:pgMar w:left="1800" w:right="1800" w:gutter="0" w:header="0" w:top="1440" w:footer="720" w:bottom="1440"/>
      <w:lnNumType w:countBy="1" w:restart="newPage" w:distance="283"/>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360"/>
        </w:tabs>
        <w:ind w:start="360" w:hanging="360"/>
      </w:pPr>
      <w:rPr/>
    </w:lvl>
  </w:abstractNum>
  <w:abstractNum w:abstractNumId="3">
    <w:lvl w:ilvl="0">
      <w:start w:val="1"/>
      <w:numFmt w:val="upperLetter"/>
      <w:lvlText w:val="%1."/>
      <w:lvlJc w:val="start"/>
      <w:pPr>
        <w:tabs>
          <w:tab w:val="num" w:pos="360"/>
        </w:tabs>
        <w:ind w:start="360" w:hanging="360"/>
      </w:pPr>
      <w:rPr/>
    </w:lvl>
  </w:abstractNum>
  <w:abstractNum w:abstractNumId="4">
    <w:lvl w:ilvl="0">
      <w:start w:val="1"/>
      <w:numFmt w:val="upperLetter"/>
      <w:lvlText w:val="%1."/>
      <w:lvlJc w:val="start"/>
      <w:pPr>
        <w:tabs>
          <w:tab w:val="num" w:pos="360"/>
        </w:tabs>
        <w:ind w:start="360" w:hanging="360"/>
      </w:pPr>
      <w:rPr/>
    </w:lvl>
  </w:abstractNum>
  <w:abstractNum w:abstractNumId="5">
    <w:lvl w:ilvl="0">
      <w:start w:val="17"/>
      <w:numFmt w:val="upperLetter"/>
      <w:lvlText w:val="%1."/>
      <w:lvlJc w:val="start"/>
      <w:pPr>
        <w:tabs>
          <w:tab w:val="num" w:pos="360"/>
        </w:tabs>
        <w:ind w:start="360" w:hanging="360"/>
      </w:pPr>
      <w:rPr/>
    </w:lvl>
  </w:abstractNum>
  <w:abstractNum w:abstractNumId="6">
    <w:lvl w:ilvl="0">
      <w:start w:val="1"/>
      <w:numFmt w:val="upperLetter"/>
      <w:lvlText w:val="%1."/>
      <w:lvlJc w:val="start"/>
      <w:pPr>
        <w:tabs>
          <w:tab w:val="num" w:pos="360"/>
        </w:tabs>
        <w:ind w:start="360" w:hanging="360"/>
      </w:pPr>
      <w:rPr/>
    </w:lvl>
  </w:abstractNum>
  <w:abstractNum w:abstractNumId="7">
    <w:lvl w:ilvl="0">
      <w:start w:val="17"/>
      <w:numFmt w:val="upperLetter"/>
      <w:lvlText w:val="%1."/>
      <w:lvlJc w:val="start"/>
      <w:pPr>
        <w:tabs>
          <w:tab w:val="num" w:pos="360"/>
        </w:tabs>
        <w:ind w:start="360" w:hanging="360"/>
      </w:pPr>
      <w:rPr/>
    </w:lvl>
  </w:abstractNum>
  <w:abstractNum w:abstractNumId="8">
    <w:lvl w:ilvl="0">
      <w:start w:val="1"/>
      <w:numFmt w:val="upperLetter"/>
      <w:lvlText w:val="%1."/>
      <w:lvlJc w:val="start"/>
      <w:pPr>
        <w:tabs>
          <w:tab w:val="num" w:pos="360"/>
        </w:tabs>
        <w:ind w:start="360" w:hanging="360"/>
      </w:pPr>
      <w:rPr/>
    </w:lvl>
  </w:abstractNum>
  <w:abstractNum w:abstractNumId="9">
    <w:lvl w:ilvl="0">
      <w:start w:val="1"/>
      <w:numFmt w:val="upperLetter"/>
      <w:lvlText w:val="%1."/>
      <w:lvlJc w:val="start"/>
      <w:pPr>
        <w:tabs>
          <w:tab w:val="num" w:pos="360"/>
        </w:tabs>
        <w:ind w:start="360" w:hanging="360"/>
      </w:pPr>
      <w:rPr/>
    </w:lvl>
  </w:abstractNum>
  <w:abstractNum w:abstractNumId="10">
    <w:lvl w:ilvl="0">
      <w:start w:val="1"/>
      <w:numFmt w:val="upperLetter"/>
      <w:lvlText w:val="%1."/>
      <w:lvlJc w:val="start"/>
      <w:pPr>
        <w:tabs>
          <w:tab w:val="num" w:pos="360"/>
        </w:tabs>
        <w:ind w:start="360" w:hanging="360"/>
      </w:pPr>
      <w:rPr/>
    </w:lvl>
  </w:abstractNum>
  <w:abstractNum w:abstractNumId="11">
    <w:lvl w:ilvl="0">
      <w:start w:val="1"/>
      <w:numFmt w:val="upperLetter"/>
      <w:lvlText w:val="%1."/>
      <w:lvlJc w:val="start"/>
      <w:pPr>
        <w:tabs>
          <w:tab w:val="num" w:pos="360"/>
        </w:tabs>
        <w:ind w:start="360" w:hanging="360"/>
      </w:pPr>
      <w:rPr/>
    </w:lvl>
  </w:abstractNum>
  <w:abstractNum w:abstractNumId="12">
    <w:lvl w:ilvl="0">
      <w:start w:val="1"/>
      <w:numFmt w:val="upperLetter"/>
      <w:lvlText w:val="%1."/>
      <w:lvlJc w:val="start"/>
      <w:pPr>
        <w:tabs>
          <w:tab w:val="num" w:pos="360"/>
        </w:tabs>
        <w:ind w:start="360" w:hanging="360"/>
      </w:pPr>
      <w:rPr/>
    </w:lvl>
  </w:abstractNum>
  <w:abstractNum w:abstractNumId="13">
    <w:lvl w:ilvl="0">
      <w:start w:val="17"/>
      <w:numFmt w:val="upperLetter"/>
      <w:lvlText w:val="%1."/>
      <w:lvlJc w:val="start"/>
      <w:pPr>
        <w:tabs>
          <w:tab w:val="num" w:pos="360"/>
        </w:tabs>
        <w:ind w:start="360" w:hanging="360"/>
      </w:pPr>
      <w:rPr/>
    </w:lvl>
  </w:abstractNum>
  <w:abstractNum w:abstractNumId="14">
    <w:lvl w:ilvl="0">
      <w:start w:val="17"/>
      <w:numFmt w:val="upperLetter"/>
      <w:lvlText w:val="%1."/>
      <w:lvlJc w:val="start"/>
      <w:pPr>
        <w:tabs>
          <w:tab w:val="num" w:pos="360"/>
        </w:tabs>
        <w:ind w:start="360" w:hanging="360"/>
      </w:pPr>
      <w:rPr/>
    </w:lvl>
  </w:abstractNum>
  <w:abstractNum w:abstractNumId="15">
    <w:lvl w:ilvl="0">
      <w:start w:val="17"/>
      <w:numFmt w:val="upperLetter"/>
      <w:lvlText w:val="%1."/>
      <w:lvlJc w:val="start"/>
      <w:pPr>
        <w:tabs>
          <w:tab w:val="num" w:pos="360"/>
        </w:tabs>
        <w:ind w:start="360" w:hanging="360"/>
      </w:pPr>
      <w:rPr/>
    </w:lvl>
  </w:abstractNum>
  <w:abstractNum w:abstractNumId="16">
    <w:lvl w:ilvl="0">
      <w:start w:val="17"/>
      <w:numFmt w:val="upperLetter"/>
      <w:lvlText w:val="%1."/>
      <w:lvlJc w:val="start"/>
      <w:pPr>
        <w:tabs>
          <w:tab w:val="num" w:pos="360"/>
        </w:tabs>
        <w:ind w:start="360" w:hanging="360"/>
      </w:pPr>
      <w:rPr/>
    </w:lvl>
  </w:abstractNum>
  <w:abstractNum w:abstractNumId="17">
    <w:lvl w:ilvl="0">
      <w:start w:val="17"/>
      <w:numFmt w:val="upperLetter"/>
      <w:lvlText w:val="%1."/>
      <w:lvlJc w:val="start"/>
      <w:pPr>
        <w:tabs>
          <w:tab w:val="num" w:pos="360"/>
        </w:tabs>
        <w:ind w:start="360" w:hanging="360"/>
      </w:pPr>
      <w:rPr/>
    </w:lvl>
  </w:abstractNum>
  <w:abstractNum w:abstractNumId="18">
    <w:lvl w:ilvl="0">
      <w:start w:val="17"/>
      <w:numFmt w:val="upperLetter"/>
      <w:lvlText w:val="%1."/>
      <w:lvlJc w:val="start"/>
      <w:pPr>
        <w:tabs>
          <w:tab w:val="num" w:pos="360"/>
        </w:tabs>
        <w:ind w:start="360" w:hanging="360"/>
      </w:pPr>
      <w:rPr/>
    </w:lvl>
  </w:abstractNum>
  <w:abstractNum w:abstractNumId="19">
    <w:lvl w:ilvl="0">
      <w:start w:val="1"/>
      <w:numFmt w:val="upperLetter"/>
      <w:lvlText w:val="%1."/>
      <w:lvlJc w:val="start"/>
      <w:pPr>
        <w:tabs>
          <w:tab w:val="num" w:pos="360"/>
        </w:tabs>
        <w:ind w:start="360" w:hanging="360"/>
      </w:pPr>
      <w:rPr/>
    </w:lvl>
  </w:abstractNum>
  <w:abstractNum w:abstractNumId="20">
    <w:lvl w:ilvl="0">
      <w:start w:val="1"/>
      <w:numFmt w:val="upperLetter"/>
      <w:lvlText w:val="%1."/>
      <w:lvlJc w:val="start"/>
      <w:pPr>
        <w:tabs>
          <w:tab w:val="num" w:pos="360"/>
        </w:tabs>
        <w:ind w:start="360" w:hanging="360"/>
      </w:pPr>
      <w:rPr/>
    </w:lvl>
  </w:abstractNum>
  <w:abstractNum w:abstractNumId="21">
    <w:lvl w:ilvl="0">
      <w:start w:val="17"/>
      <w:numFmt w:val="upperLetter"/>
      <w:lvlText w:val="%1."/>
      <w:lvlJc w:val="start"/>
      <w:pPr>
        <w:tabs>
          <w:tab w:val="num" w:pos="360"/>
        </w:tabs>
        <w:ind w:start="360" w:hanging="360"/>
      </w:pPr>
      <w:rPr/>
    </w:lvl>
  </w:abstractNum>
  <w:abstractNum w:abstractNumId="22">
    <w:lvl w:ilvl="0">
      <w:start w:val="17"/>
      <w:numFmt w:val="upperLetter"/>
      <w:lvlText w:val="%1."/>
      <w:lvlJc w:val="start"/>
      <w:pPr>
        <w:tabs>
          <w:tab w:val="num" w:pos="360"/>
        </w:tabs>
        <w:ind w:start="360" w:hanging="360"/>
      </w:pPr>
      <w:rPr/>
    </w:lvl>
  </w:abstractNum>
  <w:abstractNum w:abstractNumId="23">
    <w:lvl w:ilvl="0">
      <w:start w:val="17"/>
      <w:numFmt w:val="upperLetter"/>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87"/>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2"/>
      <w:u w:val="single"/>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spacing w:lineRule="auto" w:line="360"/>
      <w:jc w:val="center"/>
      <w:outlineLvl w:val="2"/>
    </w:pPr>
    <w:rPr>
      <w:sz w:val="24"/>
    </w:rPr>
  </w:style>
  <w:style w:type="paragraph" w:styleId="Heading4">
    <w:name w:val="heading 4"/>
    <w:basedOn w:val="Normal"/>
    <w:next w:val="Normal"/>
    <w:qFormat/>
    <w:pPr>
      <w:keepNext w:val="true"/>
      <w:numPr>
        <w:ilvl w:val="0"/>
        <w:numId w:val="7"/>
      </w:numPr>
      <w:tabs>
        <w:tab w:val="clear" w:pos="720"/>
      </w:tabs>
      <w:spacing w:lineRule="auto" w:line="360"/>
      <w:outlineLvl w:val="3"/>
    </w:pPr>
    <w:rPr>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4z0">
    <w:name w:val="WW8Num44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DefaultParagraphFont">
    <w:name w:val="Default Paragraph Font"/>
    <w:qFormat/>
    <w:rPr/>
  </w:style>
  <w:style w:type="character" w:styleId="PageNumber">
    <w:name w:val="page number"/>
    <w:basedOn w:val="DefaultParagraphFont"/>
    <w:rPr/>
  </w:style>
  <w:style w:type="character" w:styleId="LineNumber">
    <w:name w:val="lin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lineRule="auto" w:line="360"/>
      <w:jc w:val="center"/>
    </w:pPr>
    <w:rPr>
      <w:sz w:val="24"/>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2000-05-19T19:11:00Z</dcterms:created>
  <dc:creator>El Paso Energy inc,</dc:creator>
  <dc:description/>
  <dc:language>en-CA</dc:language>
  <cp:lastModifiedBy>Anne W. Louis</cp:lastModifiedBy>
  <cp:lastPrinted>2000-05-19T15:12:00Z</cp:lastPrinted>
  <dcterms:modified xsi:type="dcterms:W3CDTF">2000-05-19T19:43:00Z</dcterms:modified>
  <cp:revision>3</cp:revision>
  <dc:subject/>
  <dc:title>Q</dc:title>
</cp:coreProperties>
</file>