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start="0" w:end="0"/>
        <w:rPr/>
      </w:pPr>
      <w:r>
        <w:rPr>
          <w:rFonts w:eastAsia="Arial Narrow"/>
        </w:rPr>
        <w:t xml:space="preserve">                  </w:t>
      </w:r>
      <w:r>
        <w:rPr>
          <w:sz w:val="32"/>
          <w:u w:val="single"/>
        </w:rPr>
        <w:t>MARKET-BASED RATE AUTHORITY – A Piece of the Puzzle</w:t>
      </w:r>
    </w:p>
    <w:p>
      <w:pPr>
        <w:pStyle w:val="Heading2"/>
        <w:rPr/>
      </w:pPr>
      <w:r>
        <w:rPr>
          <w:rFonts w:eastAsia="Arial Narrow"/>
        </w:rPr>
        <w:t xml:space="preserve">                 </w:t>
      </w:r>
      <w:r>
        <w:rPr/>
        <w:t>The Electric Power Supply Association</w:t>
      </w:r>
    </w:p>
    <w:p>
      <w:pPr>
        <w:pStyle w:val="Normal"/>
        <w:rPr/>
      </w:pPr>
      <w:r>
        <w:rPr/>
      </w:r>
    </w:p>
    <w:p>
      <w:pPr>
        <w:pStyle w:val="Heading7"/>
        <w:ind w:hanging="0" w:start="0"/>
        <w:rPr/>
      </w:pPr>
      <w:r>
        <w:rPr/>
        <w:t>What is the problem?</w:t>
      </w:r>
    </w:p>
    <w:p>
      <w:pPr>
        <w:pStyle w:val="Normal"/>
        <w:rPr/>
      </w:pPr>
      <w:r>
        <w:rPr/>
      </w:r>
    </w:p>
    <w:p>
      <w:pPr>
        <w:pStyle w:val="Normal"/>
        <w:rPr/>
      </w:pPr>
      <w:r>
        <w:rPr/>
        <w:t xml:space="preserve">In recent months, FERC Commissioners have expressed concerns about the efficacy of the current hub-and-spoke approach to assessing market-based rate authority.  In fact, FERC Staff recently released a report on market-based rate authority discussing a number of alternatives that might be used to substitute for the traditionally used hub-and-spoke methodology.   Before considering alternatives to hub-and-spoke, however, it is important to focus on what the problem is that is being addressed.  The granting of market-based rate authority is only one aspect of what should be a comprehensive approach by the Commission to addressing the issue of identifying and remedying market power abuse and continuing the development of workably competitive markets.  In addition, the Commission needs to consider the role market-based rate authority plays in fostering workably competitive markets.  That is the goal of the Commission; any test for market-based rate authority should be developed consistent with that goal and, at a minimum, should not hinder that goal.  </w:t>
      </w:r>
    </w:p>
    <w:p>
      <w:pPr>
        <w:pStyle w:val="Normal"/>
        <w:rPr/>
      </w:pPr>
      <w:r>
        <w:rPr/>
      </w:r>
    </w:p>
    <w:p>
      <w:pPr>
        <w:pStyle w:val="Heading7"/>
        <w:ind w:hanging="0" w:start="0"/>
        <w:rPr/>
      </w:pPr>
      <w:r>
        <w:rPr/>
        <w:t>Fostering Competitive Markets</w:t>
      </w:r>
    </w:p>
    <w:p>
      <w:pPr>
        <w:pStyle w:val="Normal"/>
        <w:rPr/>
      </w:pPr>
      <w:r>
        <w:rPr/>
      </w:r>
    </w:p>
    <w:p>
      <w:pPr>
        <w:pStyle w:val="Normal"/>
        <w:rPr/>
      </w:pPr>
      <w:r>
        <w:rPr/>
        <w:t>The best way to minimize market power is to foster the development of workable and efficient competitive markets.  Market-based rate authority is one important step in that process.  Creating workable markets involves the interplay of numerous factors.  In conjunction with any re-evaluation of the method to assess market-based rate authority, the Commission must consider each of the interrelated pieces that are critical to ensuring competitive markets.  Most important, the Commission must ensure that any approach to market-based rate authority doesn’t create unnecessary barriers to entry.  As the Commission has found on numerous occasions, market-based rate authority is a critical component of the decision to build new generation.  Any methodology for assessing market-based rate authority that erects expensive, time-consuming and unnecessary barriers to new competitors seeking to enter the market will ultimately jeopardize the Commission’s underlying goals.</w:t>
      </w:r>
    </w:p>
    <w:p>
      <w:pPr>
        <w:pStyle w:val="Normal"/>
        <w:rPr/>
      </w:pPr>
      <w:r>
        <w:rPr/>
      </w:r>
    </w:p>
    <w:p>
      <w:pPr>
        <w:pStyle w:val="Normal"/>
        <w:rPr>
          <w:sz w:val="20"/>
          <w:lang w:val="en-CA" w:eastAsia="en-CA"/>
        </w:rPr>
      </w:pPr>
      <w:r>
        <w:rPr>
          <w:sz w:val="20"/>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85.05pt;margin-top:0.6pt;width:206.2pt;height:32.2pt;mso-wrap-style:none;v-text-anchor:middle" type="_x0000_t136">
            <v:path textpathok="t"/>
            <v:textpath on="t" fitshape="t" string="Competitive Markets" style="font-family:&quot;Arial Narrow&quot;;font-size:28pt" trim="t"/>
            <v:fill o:detectmouseclick="t" type="solid" color2="#cc9966"/>
            <v:stroke color="#3465a4" joinstyle="round" endcap="flat"/>
            <v:shadow on="t" obscured="f" color="silver"/>
            <w10:wrap type="none"/>
          </v:shape>
        </w:pict>
      </w:r>
    </w:p>
    <w:p>
      <w:pPr>
        <w:pStyle w:val="Normal"/>
        <w:jc w:val="center"/>
        <w:rPr/>
      </w:pPr>
      <w:r>
        <w:rPr/>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2451735</wp:posOffset>
                </wp:positionH>
                <wp:positionV relativeFrom="paragraph">
                  <wp:posOffset>53340</wp:posOffset>
                </wp:positionV>
                <wp:extent cx="2628900" cy="275590"/>
                <wp:effectExtent l="0" t="0" r="0" b="0"/>
                <wp:wrapNone/>
                <wp:docPr id="2" name="Frame1"/>
                <a:graphic xmlns:a="http://schemas.openxmlformats.org/drawingml/2006/main">
                  <a:graphicData uri="http://schemas.microsoft.com/office/word/2010/wordprocessingShape">
                    <wps:wsp>
                      <wps:cNvSpPr txBox="1"/>
                      <wps:spPr>
                        <a:xfrm>
                          <a:off x="0" y="0"/>
                          <a:ext cx="2628900" cy="275590"/>
                        </a:xfrm>
                        <a:prstGeom prst="rect"/>
                        <a:solidFill>
                          <a:srgbClr val="FFFFFF"/>
                        </a:solidFill>
                      </wps:spPr>
                      <wps:txbx>
                        <w:txbxContent>
                          <w:p>
                            <w:pPr>
                              <w:pStyle w:val="Normal"/>
                              <w:rPr>
                                <w:rFonts w:ascii="Arial Narrow" w:hAnsi="Arial Narrow" w:cs="Arial Narrow"/>
                                <w:sz w:val="28"/>
                              </w:rPr>
                            </w:pPr>
                            <w:r>
                              <w:rPr>
                                <w:rFonts w:cs="Arial Narrow" w:ascii="Arial Narrow" w:hAnsi="Arial Narrow"/>
                                <w:sz w:val="28"/>
                              </w:rPr>
                              <w:t>Uniform Interconnection Procedures</w:t>
                            </w:r>
                          </w:p>
                        </w:txbxContent>
                      </wps:txbx>
                      <wps:bodyPr anchor="t" lIns="92075" tIns="46355" rIns="92075" bIns="46355">
                        <a:noAutofit/>
                      </wps:bodyPr>
                    </wps:wsp>
                  </a:graphicData>
                </a:graphic>
              </wp:anchor>
            </w:drawing>
          </mc:Choice>
          <mc:Fallback>
            <w:pict>
              <v:rect fillcolor="#FFFFFF" style="position:absolute;rotation:-0;width:207pt;height:21.7pt;mso-wrap-distance-left:9.05pt;mso-wrap-distance-right:9.05pt;mso-wrap-distance-top:0pt;mso-wrap-distance-bottom:0pt;margin-top:4.2pt;mso-position-vertical-relative:text;margin-left:193.05pt;mso-position-horizontal-relative:text">
                <v:textbox inset="0.100694444444444in,0.0506944444444444in,0.100694444444444in,0.0506944444444444in">
                  <w:txbxContent>
                    <w:p>
                      <w:pPr>
                        <w:pStyle w:val="Normal"/>
                        <w:rPr>
                          <w:rFonts w:ascii="Arial Narrow" w:hAnsi="Arial Narrow" w:cs="Arial Narrow"/>
                          <w:sz w:val="28"/>
                        </w:rPr>
                      </w:pPr>
                      <w:r>
                        <w:rPr>
                          <w:rFonts w:cs="Arial Narrow" w:ascii="Arial Narrow" w:hAnsi="Arial Narrow"/>
                          <w:sz w:val="28"/>
                        </w:rPr>
                        <w:t>Uniform Interconnection Procedures</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622935</wp:posOffset>
                </wp:positionH>
                <wp:positionV relativeFrom="paragraph">
                  <wp:posOffset>53340</wp:posOffset>
                </wp:positionV>
                <wp:extent cx="1786255" cy="275590"/>
                <wp:effectExtent l="0" t="0" r="0" b="0"/>
                <wp:wrapNone/>
                <wp:docPr id="3" name="Frame2"/>
                <a:graphic xmlns:a="http://schemas.openxmlformats.org/drawingml/2006/main">
                  <a:graphicData uri="http://schemas.microsoft.com/office/word/2010/wordprocessingShape">
                    <wps:wsp>
                      <wps:cNvSpPr txBox="1"/>
                      <wps:spPr>
                        <a:xfrm>
                          <a:off x="0" y="0"/>
                          <a:ext cx="1786255" cy="275590"/>
                        </a:xfrm>
                        <a:prstGeom prst="rect"/>
                        <a:solidFill>
                          <a:srgbClr val="FFFFFF"/>
                        </a:solidFill>
                      </wps:spPr>
                      <wps:txbx>
                        <w:txbxContent>
                          <w:p>
                            <w:pPr>
                              <w:pStyle w:val="Normal"/>
                              <w:rPr>
                                <w:rFonts w:ascii="Arial Narrow" w:hAnsi="Arial Narrow" w:cs="Arial Narrow"/>
                                <w:sz w:val="28"/>
                              </w:rPr>
                            </w:pPr>
                            <w:r>
                              <w:rPr>
                                <w:rFonts w:cs="Arial Narrow" w:ascii="Arial Narrow" w:hAnsi="Arial Narrow"/>
                                <w:sz w:val="28"/>
                              </w:rPr>
                              <w:t>Congestion Management</w:t>
                            </w:r>
                          </w:p>
                        </w:txbxContent>
                      </wps:txbx>
                      <wps:bodyPr anchor="t" lIns="92075" tIns="46355" rIns="92075" bIns="46355">
                        <a:noAutofit/>
                      </wps:bodyPr>
                    </wps:wsp>
                  </a:graphicData>
                </a:graphic>
              </wp:anchor>
            </w:drawing>
          </mc:Choice>
          <mc:Fallback>
            <w:pict>
              <v:rect fillcolor="#FFFFFF" style="position:absolute;rotation:-0;width:140.65pt;height:21.7pt;mso-wrap-distance-left:9.05pt;mso-wrap-distance-right:9.05pt;mso-wrap-distance-top:0pt;mso-wrap-distance-bottom:0pt;margin-top:4.2pt;mso-position-vertical-relative:text;margin-left:49.05pt;mso-position-horizontal-relative:text">
                <v:textbox inset="0.100694444444444in,0.0506944444444444in,0.100694444444444in,0.0506944444444444in">
                  <w:txbxContent>
                    <w:p>
                      <w:pPr>
                        <w:pStyle w:val="Normal"/>
                        <w:rPr>
                          <w:rFonts w:ascii="Arial Narrow" w:hAnsi="Arial Narrow" w:cs="Arial Narrow"/>
                          <w:sz w:val="28"/>
                        </w:rPr>
                      </w:pPr>
                      <w:r>
                        <w:rPr>
                          <w:rFonts w:cs="Arial Narrow" w:ascii="Arial Narrow" w:hAnsi="Arial Narrow"/>
                          <w:sz w:val="28"/>
                        </w:rPr>
                        <w:t>Congestion Management</w:t>
                      </w:r>
                    </w:p>
                  </w:txbxContent>
                </v:textbox>
                <w10:wrap type="none"/>
              </v:rect>
            </w:pict>
          </mc:Fallback>
        </mc:AlternateContent>
      </w:r>
    </w:p>
    <w:p>
      <w:pPr>
        <w:pStyle w:val="Normal"/>
        <w:rPr>
          <w:sz w:val="20"/>
          <w:lang w:val="en-CA" w:eastAsia="en-CA"/>
        </w:rPr>
      </w:pPr>
      <w:r>
        <w:rPr>
          <w:sz w:val="20"/>
          <w:lang w:val="en-CA" w:eastAsia="en-CA"/>
        </w:rPr>
        <w:object w:dxaOrig="5437" w:dyaOrig="54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07.3pt;margin-top:10.4pt;width:126.35pt;height:130.3pt;mso-wrap-distance-left:9.05pt;mso-wrap-distance-right:9.05pt;mso-position-horizontal-relative:text;mso-position-vertical-relative:text" filled="f" o:ole="">
            <v:imagedata r:id="rId3" o:title=""/>
          </v:shape>
          <o:OLEObject Type="Embed" ProgID="" ShapeID="ole_rId2" DrawAspect="Content" ObjectID="_398234940" r:id="rId2"/>
        </w:objec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2969895</wp:posOffset>
                </wp:positionH>
                <wp:positionV relativeFrom="paragraph">
                  <wp:posOffset>140970</wp:posOffset>
                </wp:positionV>
                <wp:extent cx="2232660" cy="275590"/>
                <wp:effectExtent l="0" t="0" r="0" b="0"/>
                <wp:wrapNone/>
                <wp:docPr id="4" name="Frame3"/>
                <a:graphic xmlns:a="http://schemas.openxmlformats.org/drawingml/2006/main">
                  <a:graphicData uri="http://schemas.microsoft.com/office/word/2010/wordprocessingShape">
                    <wps:wsp>
                      <wps:cNvSpPr txBox="1"/>
                      <wps:spPr>
                        <a:xfrm>
                          <a:off x="0" y="0"/>
                          <a:ext cx="2232660" cy="275590"/>
                        </a:xfrm>
                        <a:prstGeom prst="rect"/>
                        <a:solidFill>
                          <a:srgbClr val="FFFFFF"/>
                        </a:solidFill>
                      </wps:spPr>
                      <wps:txbx>
                        <w:txbxContent>
                          <w:p>
                            <w:pPr>
                              <w:pStyle w:val="Heading4"/>
                              <w:ind w:hanging="0" w:start="0"/>
                              <w:rPr/>
                            </w:pPr>
                            <w:r>
                              <w:rPr/>
                              <w:t>Demand Response Programs</w:t>
                            </w:r>
                          </w:p>
                        </w:txbxContent>
                      </wps:txbx>
                      <wps:bodyPr anchor="t" lIns="92075" tIns="46355" rIns="92075" bIns="46355">
                        <a:noAutofit/>
                      </wps:bodyPr>
                    </wps:wsp>
                  </a:graphicData>
                </a:graphic>
              </wp:anchor>
            </w:drawing>
          </mc:Choice>
          <mc:Fallback>
            <w:pict>
              <v:rect fillcolor="#FFFFFF" style="position:absolute;rotation:-0;width:175.8pt;height:21.7pt;mso-wrap-distance-left:9.05pt;mso-wrap-distance-right:9.05pt;mso-wrap-distance-top:0pt;mso-wrap-distance-bottom:0pt;margin-top:11.1pt;mso-position-vertical-relative:text;margin-left:233.85pt;mso-position-horizontal-relative:text">
                <v:textbox inset="0.100694444444444in,0.0506944444444444in,0.100694444444444in,0.0506944444444444in">
                  <w:txbxContent>
                    <w:p>
                      <w:pPr>
                        <w:pStyle w:val="Heading4"/>
                        <w:ind w:hanging="0" w:start="0"/>
                        <w:rPr/>
                      </w:pPr>
                      <w:r>
                        <w:rPr/>
                        <w:t>Demand Response Programs</w:t>
                      </w:r>
                    </w:p>
                  </w:txbxContent>
                </v:textbox>
                <w10:wrap type="none"/>
              </v:rect>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9">
                <wp:simplePos x="0" y="0"/>
                <wp:positionH relativeFrom="column">
                  <wp:posOffset>-62865</wp:posOffset>
                </wp:positionH>
                <wp:positionV relativeFrom="paragraph">
                  <wp:posOffset>99060</wp:posOffset>
                </wp:positionV>
                <wp:extent cx="1518285" cy="321945"/>
                <wp:effectExtent l="0" t="0" r="0" b="0"/>
                <wp:wrapNone/>
                <wp:docPr id="5" name="Frame4"/>
                <a:graphic xmlns:a="http://schemas.openxmlformats.org/drawingml/2006/main">
                  <a:graphicData uri="http://schemas.microsoft.com/office/word/2010/wordprocessingShape">
                    <wps:wsp>
                      <wps:cNvSpPr txBox="1"/>
                      <wps:spPr>
                        <a:xfrm>
                          <a:off x="0" y="0"/>
                          <a:ext cx="1518285" cy="321945"/>
                        </a:xfrm>
                        <a:prstGeom prst="rect"/>
                        <a:solidFill>
                          <a:srgbClr val="FFFFFF">
                            <a:alpha val="0"/>
                          </a:srgbClr>
                        </a:solidFill>
                      </wps:spPr>
                      <wps:txbx>
                        <w:txbxContent>
                          <w:p>
                            <w:pPr>
                              <w:pStyle w:val="Normal"/>
                              <w:rPr>
                                <w:rFonts w:ascii="Arial Narrow" w:hAnsi="Arial Narrow" w:cs="Arial Narrow"/>
                                <w:sz w:val="28"/>
                              </w:rPr>
                            </w:pPr>
                            <w:r>
                              <w:rPr>
                                <w:rFonts w:cs="Arial Narrow" w:ascii="Arial Narrow" w:hAnsi="Arial Narrow"/>
                                <w:sz w:val="28"/>
                              </w:rPr>
                              <w:t>RTO Participation</w:t>
                            </w:r>
                          </w:p>
                        </w:txbxContent>
                      </wps:txbx>
                      <wps:bodyPr anchor="t" lIns="92075" tIns="46355" rIns="92075" bIns="46355">
                        <a:noAutofit/>
                      </wps:bodyPr>
                    </wps:wsp>
                  </a:graphicData>
                </a:graphic>
              </wp:anchor>
            </w:drawing>
          </mc:Choice>
          <mc:Fallback>
            <w:pict>
              <v:rect fillcolor="#FFFFFF" style="position:absolute;rotation:-0;width:119.55pt;height:25.35pt;mso-wrap-distance-left:9.05pt;mso-wrap-distance-right:9.05pt;mso-wrap-distance-top:0pt;mso-wrap-distance-bottom:0pt;margin-top:7.8pt;mso-position-vertical-relative:text;margin-left:-4.95pt;mso-position-horizontal-relative:text">
                <v:fill opacity="0f"/>
                <v:textbox inset="0.100694444444444in,0.0506944444444444in,0.100694444444444in,0.0506944444444444in">
                  <w:txbxContent>
                    <w:p>
                      <w:pPr>
                        <w:pStyle w:val="Normal"/>
                        <w:rPr>
                          <w:rFonts w:ascii="Arial Narrow" w:hAnsi="Arial Narrow" w:cs="Arial Narrow"/>
                          <w:sz w:val="28"/>
                        </w:rPr>
                      </w:pPr>
                      <w:r>
                        <w:rPr>
                          <w:rFonts w:cs="Arial Narrow" w:ascii="Arial Narrow" w:hAnsi="Arial Narrow"/>
                          <w:sz w:val="28"/>
                        </w:rPr>
                        <w:t>RTO Participation</w:t>
                      </w:r>
                    </w:p>
                  </w:txbxContent>
                </v:textbox>
                <w10:wrap type="none"/>
              </v:rect>
            </w:pict>
          </mc:Fallback>
        </mc:AlternateContent>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3059430</wp:posOffset>
                </wp:positionH>
                <wp:positionV relativeFrom="paragraph">
                  <wp:posOffset>167005</wp:posOffset>
                </wp:positionV>
                <wp:extent cx="2321560" cy="276225"/>
                <wp:effectExtent l="0" t="0" r="0" b="0"/>
                <wp:wrapNone/>
                <wp:docPr id="6" name="Frame5"/>
                <a:graphic xmlns:a="http://schemas.openxmlformats.org/drawingml/2006/main">
                  <a:graphicData uri="http://schemas.microsoft.com/office/word/2010/wordprocessingShape">
                    <wps:wsp>
                      <wps:cNvSpPr txBox="1"/>
                      <wps:spPr>
                        <a:xfrm>
                          <a:off x="0" y="0"/>
                          <a:ext cx="2321560" cy="276225"/>
                        </a:xfrm>
                        <a:prstGeom prst="rect"/>
                        <a:solidFill>
                          <a:srgbClr val="FFFFFF"/>
                        </a:solidFill>
                      </wps:spPr>
                      <wps:txbx>
                        <w:txbxContent>
                          <w:p>
                            <w:pPr>
                              <w:pStyle w:val="Heading4"/>
                              <w:ind w:hanging="0" w:start="0"/>
                              <w:rPr/>
                            </w:pPr>
                            <w:r>
                              <w:rPr/>
                              <w:t>Adequate Generation Capacity</w:t>
                            </w:r>
                          </w:p>
                        </w:txbxContent>
                      </wps:txbx>
                      <wps:bodyPr anchor="t" lIns="92075" tIns="46355" rIns="92075" bIns="46355">
                        <a:noAutofit/>
                      </wps:bodyPr>
                    </wps:wsp>
                  </a:graphicData>
                </a:graphic>
              </wp:anchor>
            </w:drawing>
          </mc:Choice>
          <mc:Fallback>
            <w:pict>
              <v:rect fillcolor="#FFFFFF" style="position:absolute;rotation:-0;width:182.8pt;height:21.75pt;mso-wrap-distance-left:9.05pt;mso-wrap-distance-right:9.05pt;mso-wrap-distance-top:0pt;mso-wrap-distance-bottom:0pt;margin-top:13.15pt;mso-position-vertical-relative:text;margin-left:240.9pt;mso-position-horizontal-relative:text">
                <v:textbox inset="0.100694444444444in,0.0506944444444444in,0.100694444444444in,0.0506944444444444in">
                  <w:txbxContent>
                    <w:p>
                      <w:pPr>
                        <w:pStyle w:val="Heading4"/>
                        <w:ind w:hanging="0" w:start="0"/>
                        <w:rPr/>
                      </w:pPr>
                      <w:r>
                        <w:rPr/>
                        <w:t>Adequate Generation Capacity</w:t>
                      </w:r>
                    </w:p>
                  </w:txbxContent>
                </v:textbox>
                <w10:wrap type="none"/>
              </v:rect>
            </w:pict>
          </mc:Fallback>
        </mc:AlternateConten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6">
                <wp:simplePos x="0" y="0"/>
                <wp:positionH relativeFrom="column">
                  <wp:posOffset>2791460</wp:posOffset>
                </wp:positionH>
                <wp:positionV relativeFrom="paragraph">
                  <wp:posOffset>543560</wp:posOffset>
                </wp:positionV>
                <wp:extent cx="2767965" cy="275590"/>
                <wp:effectExtent l="0" t="0" r="0" b="0"/>
                <wp:wrapNone/>
                <wp:docPr id="7" name="Frame8"/>
                <a:graphic xmlns:a="http://schemas.openxmlformats.org/drawingml/2006/main">
                  <a:graphicData uri="http://schemas.microsoft.com/office/word/2010/wordprocessingShape">
                    <wps:wsp>
                      <wps:cNvSpPr txBox="1"/>
                      <wps:spPr>
                        <a:xfrm>
                          <a:off x="0" y="0"/>
                          <a:ext cx="2767965" cy="275590"/>
                        </a:xfrm>
                        <a:prstGeom prst="rect"/>
                        <a:solidFill>
                          <a:srgbClr val="FFFFFF"/>
                        </a:solidFill>
                      </wps:spPr>
                      <wps:txbx>
                        <w:txbxContent>
                          <w:p>
                            <w:pPr>
                              <w:pStyle w:val="Heading4"/>
                              <w:ind w:hanging="0" w:start="0"/>
                              <w:rPr/>
                            </w:pPr>
                            <w:r>
                              <w:rPr/>
                              <w:t>Retail Services and Customer Choice</w:t>
                            </w:r>
                          </w:p>
                        </w:txbxContent>
                      </wps:txbx>
                      <wps:bodyPr anchor="t" lIns="92075" tIns="46355" rIns="92075" bIns="46355">
                        <a:noAutofit/>
                      </wps:bodyPr>
                    </wps:wsp>
                  </a:graphicData>
                </a:graphic>
              </wp:anchor>
            </w:drawing>
          </mc:Choice>
          <mc:Fallback>
            <w:pict>
              <v:rect fillcolor="#FFFFFF" style="position:absolute;rotation:-0;width:217.95pt;height:21.7pt;mso-wrap-distance-left:9.05pt;mso-wrap-distance-right:9.05pt;mso-wrap-distance-top:0pt;mso-wrap-distance-bottom:0pt;margin-top:42.8pt;mso-position-vertical-relative:text;margin-left:219.8pt;mso-position-horizontal-relative:text">
                <v:textbox inset="0.100694444444444in,0.0506944444444444in,0.100694444444444in,0.0506944444444444in">
                  <w:txbxContent>
                    <w:p>
                      <w:pPr>
                        <w:pStyle w:val="Heading4"/>
                        <w:ind w:hanging="0" w:start="0"/>
                        <w:rPr/>
                      </w:pPr>
                      <w:r>
                        <w:rPr/>
                        <w:t>Retail Services and Customer Choice</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-177165</wp:posOffset>
                </wp:positionH>
                <wp:positionV relativeFrom="paragraph">
                  <wp:posOffset>488315</wp:posOffset>
                </wp:positionV>
                <wp:extent cx="2143125" cy="275590"/>
                <wp:effectExtent l="0" t="0" r="0" b="0"/>
                <wp:wrapNone/>
                <wp:docPr id="8" name="Frame7"/>
                <a:graphic xmlns:a="http://schemas.openxmlformats.org/drawingml/2006/main">
                  <a:graphicData uri="http://schemas.microsoft.com/office/word/2010/wordprocessingShape">
                    <wps:wsp>
                      <wps:cNvSpPr txBox="1"/>
                      <wps:spPr>
                        <a:xfrm>
                          <a:off x="0" y="0"/>
                          <a:ext cx="2143125" cy="275590"/>
                        </a:xfrm>
                        <a:prstGeom prst="rect"/>
                        <a:solidFill>
                          <a:srgbClr val="FFFFFF">
                            <a:alpha val="0"/>
                          </a:srgbClr>
                        </a:solidFill>
                      </wps:spPr>
                      <wps:txbx>
                        <w:txbxContent>
                          <w:p>
                            <w:pPr>
                              <w:pStyle w:val="Heading4"/>
                              <w:ind w:hanging="0" w:start="0"/>
                              <w:rPr/>
                            </w:pPr>
                            <w:r>
                              <w:rPr/>
                              <w:t>Information Disclosure</w:t>
                            </w:r>
                          </w:p>
                        </w:txbxContent>
                      </wps:txbx>
                      <wps:bodyPr anchor="t" lIns="92075" tIns="46355" rIns="92075" bIns="46355">
                        <a:noAutofit/>
                      </wps:bodyPr>
                    </wps:wsp>
                  </a:graphicData>
                </a:graphic>
              </wp:anchor>
            </w:drawing>
          </mc:Choice>
          <mc:Fallback>
            <w:pict>
              <v:rect fillcolor="#FFFFFF" style="position:absolute;rotation:-0;width:168.75pt;height:21.7pt;mso-wrap-distance-left:9.05pt;mso-wrap-distance-right:9.05pt;mso-wrap-distance-top:0pt;mso-wrap-distance-bottom:0pt;margin-top:38.45pt;mso-position-vertical-relative:text;margin-left:-13.95pt;mso-position-horizontal-relative:text">
                <v:fill opacity="0f"/>
                <v:textbox inset="0.100694444444444in,0.0506944444444444in,0.100694444444444in,0.0506944444444444in">
                  <w:txbxContent>
                    <w:p>
                      <w:pPr>
                        <w:pStyle w:val="Heading4"/>
                        <w:ind w:hanging="0" w:start="0"/>
                        <w:rPr/>
                      </w:pPr>
                      <w:r>
                        <w:rPr/>
                        <w:t>Information Disclosure</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622935</wp:posOffset>
                </wp:positionH>
                <wp:positionV relativeFrom="paragraph">
                  <wp:posOffset>31115</wp:posOffset>
                </wp:positionV>
                <wp:extent cx="1339215" cy="276225"/>
                <wp:effectExtent l="0" t="0" r="0" b="0"/>
                <wp:wrapNone/>
                <wp:docPr id="9" name="Frame6"/>
                <a:graphic xmlns:a="http://schemas.openxmlformats.org/drawingml/2006/main">
                  <a:graphicData uri="http://schemas.microsoft.com/office/word/2010/wordprocessingShape">
                    <wps:wsp>
                      <wps:cNvSpPr txBox="1"/>
                      <wps:spPr>
                        <a:xfrm>
                          <a:off x="0" y="0"/>
                          <a:ext cx="1339215" cy="276225"/>
                        </a:xfrm>
                        <a:prstGeom prst="rect"/>
                        <a:solidFill>
                          <a:srgbClr val="FFFFFF">
                            <a:alpha val="0"/>
                          </a:srgbClr>
                        </a:solidFill>
                      </wps:spPr>
                      <wps:txbx>
                        <w:txbxContent>
                          <w:p>
                            <w:pPr>
                              <w:pStyle w:val="Normal"/>
                              <w:rPr>
                                <w:rFonts w:ascii="Arial Narrow" w:hAnsi="Arial Narrow" w:cs="Arial Narrow"/>
                                <w:sz w:val="28"/>
                              </w:rPr>
                            </w:pPr>
                            <w:r>
                              <w:rPr>
                                <w:rFonts w:cs="Arial Narrow" w:ascii="Arial Narrow" w:hAnsi="Arial Narrow"/>
                                <w:sz w:val="28"/>
                              </w:rPr>
                              <w:t>Market Monitoring</w:t>
                            </w:r>
                          </w:p>
                        </w:txbxContent>
                      </wps:txbx>
                      <wps:bodyPr anchor="t" lIns="92075" tIns="46355" rIns="92075" bIns="46355">
                        <a:noAutofit/>
                      </wps:bodyPr>
                    </wps:wsp>
                  </a:graphicData>
                </a:graphic>
              </wp:anchor>
            </w:drawing>
          </mc:Choice>
          <mc:Fallback>
            <w:pict>
              <v:rect fillcolor="#FFFFFF" style="position:absolute;rotation:-0;width:105.45pt;height:21.75pt;mso-wrap-distance-left:9.05pt;mso-wrap-distance-right:9.05pt;mso-wrap-distance-top:0pt;mso-wrap-distance-bottom:0pt;margin-top:2.45pt;mso-position-vertical-relative:text;margin-left:49.05pt;mso-position-horizontal-relative:text">
                <v:fill opacity="0f"/>
                <v:textbox inset="0.100694444444444in,0.0506944444444444in,0.100694444444444in,0.0506944444444444in">
                  <w:txbxContent>
                    <w:p>
                      <w:pPr>
                        <w:pStyle w:val="Normal"/>
                        <w:rPr>
                          <w:rFonts w:ascii="Arial Narrow" w:hAnsi="Arial Narrow" w:cs="Arial Narrow"/>
                          <w:sz w:val="28"/>
                        </w:rPr>
                      </w:pPr>
                      <w:r>
                        <w:rPr>
                          <w:rFonts w:cs="Arial Narrow" w:ascii="Arial Narrow" w:hAnsi="Arial Narrow"/>
                          <w:sz w:val="28"/>
                        </w:rPr>
                        <w:t>Market Monitoring</w:t>
                      </w:r>
                    </w:p>
                  </w:txbxContent>
                </v:textbox>
                <w10:wrap type="none"/>
              </v:rect>
            </w:pict>
          </mc:Fallback>
        </mc:AlternateContent>
      </w:r>
    </w:p>
    <w:p>
      <w:pPr>
        <w:pStyle w:val="Normal"/>
        <w:rPr/>
      </w:pPr>
      <w:r>
        <w:rPr/>
      </w:r>
    </w:p>
    <w:p>
      <w:pPr>
        <w:pStyle w:val="Normal"/>
        <w:rPr/>
      </w:pPr>
      <w:r>
        <w:rPr/>
        <w:t>The current interest in evaluating the hub-and-spoke analysis should occur in conjunction with FERC’s consideration of how the components of competitive markets interact.  Failure to consider the entire spectrum of issues will lead to consequences that, though unintended, do not foster the Commission’s goal of a successful competitive wholesale electric market.</w:t>
      </w:r>
    </w:p>
    <w:p>
      <w:pPr>
        <w:pStyle w:val="Heading3"/>
        <w:ind w:hanging="0" w:start="0"/>
        <w:rPr/>
      </w:pPr>
      <w:r>
        <w:rPr/>
      </w:r>
    </w:p>
    <w:p>
      <w:pPr>
        <w:pStyle w:val="Heading7"/>
        <w:ind w:hanging="0" w:start="0"/>
        <w:rPr/>
      </w:pPr>
      <w:r>
        <w:rPr/>
        <w:t>Solving the Market Power Problem</w:t>
      </w:r>
    </w:p>
    <w:p>
      <w:pPr>
        <w:pStyle w:val="Normal"/>
        <w:rPr/>
      </w:pPr>
      <w:r>
        <w:rPr/>
      </w:r>
    </w:p>
    <w:p>
      <w:pPr>
        <w:pStyle w:val="Normal"/>
        <w:rPr/>
      </w:pPr>
      <w:r>
        <w:rPr/>
        <w:t>Abuse of market power is a problem for all market participants.  It undermines the effectiveness of the markets themselves and, in turn, the confidence of all market participants, including regulators.  The issue isn’t whether the Commission should focus on this very important issue, but what tools the Commission should use to identify and remedy market power abuse.  It is important not to confuse a methodology for assessing market-based rates with a well thought-out and comprehensive program for identifying and remedying market power abuse.  Most significantly, the Commission needs to focus on market structures and putting in place rules that allow competition to flourish over the long-term.</w:t>
      </w:r>
    </w:p>
    <w:p>
      <w:pPr>
        <w:pStyle w:val="Normal"/>
        <w:rPr/>
      </w:pPr>
      <w:r>
        <w:rPr/>
      </w:r>
    </w:p>
    <w:p>
      <w:pPr>
        <w:pStyle w:val="Normal"/>
        <w:rPr/>
      </w:pPr>
      <w:r>
        <w:rPr/>
        <w:t xml:space="preserve">In addition, it is important to keep in mind that the hub-and-spoke methodology only goes to one aspect of the Commission’s test for the grant of market-based rate authority: generation dominance.  Under long-standing Commission precedent, other issues—including transmission market dominance and barriers to entry—remain important parts of a market-based rate assessment.  The Commission should assure that all aspects of its market-based rates screen, not just the one addressing generation dominance, are achieving the Commission’s goals.  </w:t>
      </w:r>
    </w:p>
    <w:p>
      <w:pPr>
        <w:pStyle w:val="Normal"/>
        <w:rPr/>
      </w:pPr>
      <w:r>
        <w:rPr/>
      </w:r>
    </w:p>
    <w:p>
      <w:pPr>
        <w:pStyle w:val="Normal"/>
        <w:rPr/>
      </w:pPr>
      <w:r>
        <w:rPr/>
        <w:t xml:space="preserve">In looking at the goals of any test for the grant of market-based rate authority, it is also important to look at market-based rate authority in the context of the Commission’s policies to identify and remedy market power abuse.  In order to proceed, FERC must provide guidance to the industry on a number of interrelated issues:  </w:t>
      </w:r>
    </w:p>
    <w:p>
      <w:pPr>
        <w:pStyle w:val="Normal"/>
        <w:rPr/>
      </w:pPr>
      <w:r>
        <w:rPr/>
      </w:r>
    </w:p>
    <w:p>
      <w:pPr>
        <w:pStyle w:val="Heading5"/>
        <w:ind w:hanging="0" w:start="0"/>
        <w:rPr>
          <w:rFonts w:ascii="Arial" w:hAnsi="Arial" w:cs="Arial"/>
          <w:sz w:val="24"/>
        </w:rPr>
      </w:pPr>
      <w:r>
        <w:rPr>
          <w:rFonts w:eastAsia="Arial" w:cs="Arial" w:ascii="Arial" w:hAnsi="Arial"/>
          <w:sz w:val="24"/>
        </w:rPr>
        <w:t xml:space="preserve">           </w:t>
      </w:r>
      <w:r>
        <w:rPr>
          <w:rFonts w:cs="Arial" w:ascii="Arial" w:hAnsi="Arial"/>
          <w:sz w:val="24"/>
        </w:rPr>
        <w:t>Define Market Power</w:t>
      </w:r>
    </w:p>
    <w:p>
      <w:pPr>
        <w:pStyle w:val="Normal"/>
        <w:ind w:start="1440" w:end="0"/>
        <w:rPr/>
      </w:pPr>
      <w:r>
        <w:rPr/>
        <w:t>FERC must define market power as</w:t>
      </w:r>
      <w:r>
        <w:rPr>
          <w:i/>
        </w:rPr>
        <w:t xml:space="preserve"> the ability to sustain a price increase for a nontransitory period of time</w:t>
      </w:r>
      <w:r>
        <w:rPr/>
        <w:t>.  Market power should NOT be loosely associated with or used as an excuse for poor market structure or fluctuating prices.  Further, FERC must mitigate the sources of market power, not the symptoms.</w:t>
      </w:r>
    </w:p>
    <w:p>
      <w:pPr>
        <w:pStyle w:val="Normal"/>
        <w:rPr/>
      </w:pPr>
      <w:r>
        <w:rPr/>
      </w:r>
    </w:p>
    <w:p>
      <w:pPr>
        <w:pStyle w:val="Heading5"/>
        <w:ind w:hanging="0" w:start="0"/>
        <w:rPr>
          <w:rFonts w:ascii="Arial" w:hAnsi="Arial" w:cs="Arial"/>
          <w:sz w:val="24"/>
        </w:rPr>
      </w:pPr>
      <w:r>
        <w:rPr>
          <w:rFonts w:eastAsia="Arial" w:cs="Arial" w:ascii="Arial" w:hAnsi="Arial"/>
          <w:sz w:val="24"/>
        </w:rPr>
        <w:t xml:space="preserve">           </w:t>
      </w:r>
      <w:r>
        <w:rPr>
          <w:rFonts w:cs="Arial" w:ascii="Arial" w:hAnsi="Arial"/>
          <w:sz w:val="24"/>
        </w:rPr>
        <w:t>Clear Purpose of Hub-and-Spoke</w:t>
      </w:r>
    </w:p>
    <w:p>
      <w:pPr>
        <w:pStyle w:val="Normal"/>
        <w:ind w:start="1440" w:end="0"/>
        <w:rPr/>
      </w:pPr>
      <w:r>
        <w:rPr/>
        <w:t xml:space="preserve">FERC must make clear that the intent of any methodology to assess market-based rate authority is to assess </w:t>
      </w:r>
      <w:r>
        <w:rPr>
          <w:i/>
        </w:rPr>
        <w:t>generation dominance</w:t>
      </w:r>
      <w:r>
        <w:rPr/>
        <w:t>, NOT market power.  If market dominance is found, a variety of tools, not merely the denial of market-based rate authority, are available to remedy the situation.  In addition, it is important to remember that this is not the only issue in the grant of market-based rate authority.</w:t>
      </w:r>
    </w:p>
    <w:p>
      <w:pPr>
        <w:pStyle w:val="Normal"/>
        <w:ind w:start="720" w:end="0"/>
        <w:rPr>
          <w:rFonts w:eastAsia="Arial"/>
          <w:b/>
        </w:rPr>
      </w:pPr>
      <w:r>
        <w:rPr>
          <w:rFonts w:eastAsia="Arial"/>
          <w:b/>
        </w:rPr>
        <w:t xml:space="preserve">  </w:t>
      </w:r>
    </w:p>
    <w:p>
      <w:pPr>
        <w:pStyle w:val="Heading5"/>
        <w:ind w:hanging="0" w:start="0"/>
        <w:rPr/>
      </w:pPr>
      <w:r>
        <w:rPr>
          <w:rFonts w:eastAsia="Arial Narrow"/>
        </w:rPr>
        <w:t xml:space="preserve">           </w:t>
      </w:r>
      <w:r>
        <w:rPr>
          <w:rFonts w:cs="Arial" w:ascii="Arial" w:hAnsi="Arial"/>
          <w:sz w:val="24"/>
        </w:rPr>
        <w:t>Use the Appropriate Tools for the Appropriate Problem</w:t>
      </w:r>
    </w:p>
    <w:p>
      <w:pPr>
        <w:pStyle w:val="Normal"/>
        <w:ind w:start="1440" w:end="0"/>
        <w:rPr/>
      </w:pPr>
      <w:r>
        <w:rPr/>
        <w:t>FERC should not continue to treat the symptoms of market power, but should treat the problem – it must get the rules right in order to allow market participants to follow them confidently.  Market structure issues, inadequate supply, withholding, or strategic bidding must be paired with the appropriate tools to address those issues – proper market-based rate authority assessment methods, incentives that encourage new generation and expansion of transmission infrastructure, standardized interconnection procedures, properly structured RTOs, and independent market monitoring units.</w:t>
      </w:r>
    </w:p>
    <w:p>
      <w:pPr>
        <w:pStyle w:val="Normal"/>
        <w:rPr>
          <w:rFonts w:ascii="Arial Narrow" w:hAnsi="Arial Narrow" w:cs="Arial Narrow"/>
          <w:b/>
          <w:sz w:val="28"/>
        </w:rPr>
      </w:pPr>
      <w:r>
        <w:rPr>
          <w:rFonts w:cs="Arial Narrow" w:ascii="Arial Narrow" w:hAnsi="Arial Narrow"/>
          <w:b/>
          <w:sz w:val="28"/>
        </w:rPr>
      </w:r>
    </w:p>
    <w:p>
      <w:pPr>
        <w:pStyle w:val="Heading7"/>
        <w:ind w:hanging="0" w:start="0"/>
        <w:rPr/>
      </w:pPr>
      <w:r>
        <w:rPr/>
        <w:t>Alternatives to Hub-and-Spoke</w:t>
      </w:r>
    </w:p>
    <w:p>
      <w:pPr>
        <w:pStyle w:val="Normal"/>
        <w:rPr/>
      </w:pPr>
      <w:r>
        <w:rPr/>
      </w:r>
    </w:p>
    <w:p>
      <w:pPr>
        <w:pStyle w:val="Normal"/>
        <w:rPr/>
      </w:pPr>
      <w:r>
        <w:rPr/>
        <w:t xml:space="preserve">As a substitute for the currently used hub-and-spoke methodology, Staff recommends a method called the </w:t>
      </w:r>
      <w:r>
        <w:rPr>
          <w:b/>
          <w:i/>
        </w:rPr>
        <w:t>Supply Margin Assessment</w:t>
      </w:r>
      <w:r>
        <w:rPr/>
        <w:t xml:space="preserve"> (SMA) that measures whether a seller is pivotal in the market, </w:t>
      </w:r>
      <w:r>
        <w:rPr>
          <w:i/>
        </w:rPr>
        <w:t>i.e.</w:t>
      </w:r>
      <w:r>
        <w:rPr/>
        <w:t xml:space="preserve"> whether the market’s peak day demand can be met in the absence of the applicant’s generation.  The report notes that to the extent this is true, the applicant would not have market power.  </w:t>
      </w:r>
    </w:p>
    <w:p>
      <w:pPr>
        <w:pStyle w:val="Normal"/>
        <w:rPr/>
      </w:pPr>
      <w:r>
        <w:rPr/>
      </w:r>
    </w:p>
    <w:p>
      <w:pPr>
        <w:pStyle w:val="Normal"/>
        <w:rPr/>
      </w:pPr>
      <w:r>
        <w:rPr/>
        <w:t xml:space="preserve">It is important to recognize that the SMA proposes to measure market power based on the difference between available supply and demand – in other words, it proposes to measure generation market power based on shortage conditions – a point EPSA has argued against at the Commission before. The results of this test could run counter to the competitive markets the Commission would like to promote.  For instance, generators entering markets with a shortage are more likely to fail an SMA test.  Yet, it is exactly these power plants that a market with a shortage needs to attract.  </w:t>
      </w:r>
    </w:p>
    <w:p>
      <w:pPr>
        <w:pStyle w:val="Normal"/>
        <w:rPr/>
      </w:pPr>
      <w:r>
        <w:rPr/>
      </w:r>
    </w:p>
    <w:p>
      <w:pPr>
        <w:pStyle w:val="Normal"/>
        <w:rPr/>
      </w:pPr>
      <w:r>
        <w:rPr/>
        <w:t xml:space="preserve">The SMA method does not focus on finding the existence of market power for a sustained period of time.  By focusing on peak demand, SMA focuses on a time period that is, by definition, transitory.  It may or may not measure the ability of a generator to maintain a high price for an extended period of time, depending if the peak demand level was a one-time phenomenon or part of a more sustained high demand system.  </w:t>
      </w:r>
    </w:p>
    <w:p>
      <w:pPr>
        <w:pStyle w:val="Normal"/>
        <w:rPr/>
      </w:pPr>
      <w:r>
        <w:rPr/>
      </w:r>
    </w:p>
    <w:p>
      <w:pPr>
        <w:pStyle w:val="Normal"/>
        <w:rPr/>
      </w:pPr>
      <w:r>
        <w:rPr/>
        <w:t>It should also be recognized that, even if provided the same generator and market information, SMA could produce results that are vastly different than the current hub-and-spoke measures of market power.  Using SMA in a market with a supply shortage, almost every generator, even those with a very small market share, could be shown to have market power.  Alternately, in a market with a large supply surplus, a generator with a market share above the current 20% threshold could pass the SMA test.</w:t>
      </w:r>
    </w:p>
    <w:p>
      <w:pPr>
        <w:pStyle w:val="Normal"/>
        <w:rPr/>
      </w:pPr>
      <w:r>
        <w:rPr/>
      </w:r>
    </w:p>
    <w:p>
      <w:pPr>
        <w:pStyle w:val="Normal"/>
        <w:rPr/>
      </w:pPr>
      <w:r>
        <w:rPr/>
        <w:t xml:space="preserve">Just as the hub-and-spoke method is criticized for the inclusion of all supply regardless of its cost, the SMA method faces the same criticism.  Without a screen for economic capacity, SMA could find an owner of a high-cost unit to have market power even though the unit is rarely dispatched.   </w:t>
      </w:r>
    </w:p>
    <w:p>
      <w:pPr>
        <w:pStyle w:val="Normal"/>
        <w:rPr/>
      </w:pPr>
      <w:r>
        <w:rPr/>
      </w:r>
    </w:p>
    <w:p>
      <w:pPr>
        <w:pStyle w:val="Normal"/>
        <w:rPr/>
      </w:pPr>
      <w:r>
        <w:rPr/>
        <w:t>In short, SMA is not consistent with FERC’s move towards evaluating market power by examining the supply situation using economic capacity over multiple time periods.</w:t>
      </w:r>
    </w:p>
    <w:p>
      <w:pPr>
        <w:pStyle w:val="Normal"/>
        <w:rPr/>
      </w:pPr>
      <w:r>
        <w:rPr/>
      </w:r>
    </w:p>
    <w:p>
      <w:pPr>
        <w:pStyle w:val="Normal"/>
        <w:rPr/>
      </w:pPr>
      <w:r>
        <w:rPr/>
        <w:t xml:space="preserve">Another alternative to the hub-and-spoke, the delivered price test (found in Appendix A of the Merger Guidelines) is centered on </w:t>
      </w:r>
      <w:r>
        <w:rPr>
          <w:b/>
          <w:i/>
        </w:rPr>
        <w:t>economic capacity</w:t>
      </w:r>
      <w:r>
        <w:rPr/>
        <w:t xml:space="preserve">, which includes elements such as transmission constraints and price.  Different from the hub-and-spoke, which assumes that every megawatt produced makes it to market, the delivered price test looks into physical delivery barriers, the competitiveness of that capacity, and production costs.  </w:t>
      </w:r>
    </w:p>
    <w:p>
      <w:pPr>
        <w:pStyle w:val="Normal"/>
        <w:rPr/>
      </w:pPr>
      <w:r>
        <w:rPr/>
      </w:r>
    </w:p>
    <w:p>
      <w:pPr>
        <w:pStyle w:val="Normal"/>
        <w:rPr/>
      </w:pPr>
      <w:r>
        <w:rPr/>
        <w:t>The delivered price test begins to target some of the problems with the other market power tests, getting closer to a realistic picture of the market.  It still, however, is an indirect measure of market power and does not illustrate how economic capacity could be utilized to sustain high prices.</w:t>
      </w:r>
    </w:p>
    <w:p>
      <w:pPr>
        <w:pStyle w:val="Normal"/>
        <w:rPr/>
      </w:pPr>
      <w:r>
        <w:rPr/>
      </w:r>
    </w:p>
    <w:p>
      <w:pPr>
        <w:pStyle w:val="Normal"/>
        <w:rPr/>
      </w:pPr>
      <w:r>
        <w:rPr/>
        <w:t xml:space="preserve">If the hub-and-spoke method is to be revised, EPSA would urge the Commission to consider the need for market entry, the ease of using any tool developed and the cost associated with complex modeling exercised that produces contested results.  Moving forward, FERC should clearly define its intent and purpose for using a new test to assess market-based rate authority.  The purpose should be to define generation dominance, </w:t>
      </w:r>
      <w:r>
        <w:rPr>
          <w:i/>
        </w:rPr>
        <w:t>NOT</w:t>
      </w:r>
      <w:r>
        <w:rPr/>
        <w:t xml:space="preserve"> alleged abuse of market power, which, if found, can be remedied.  FERC should provide guidance to the industry on market power issues, eliminating the current uncertainty and setting out clear rules.  Using subjective criteria and vague definitions of market power and abuses will only increase uncertainty in the markets, minimize the entry needed to make markets work and slow the goal of achieving workable, efficient competitive markets that provide benefits to consumers.</w:t>
      </w:r>
    </w:p>
    <w:sectPr>
      <w:headerReference w:type="default" r:id="rId4"/>
      <w:headerReference w:type="first" r:id="rId5"/>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fldChar w:fldCharType="begin"/>
    </w:r>
    <w:r>
      <w:rPr>
        <w:b/>
        <w:bCs/>
      </w:rPr>
      <w:instrText xml:space="preserve"> DATE \@"MM\/dd\/yy" </w:instrText>
    </w:r>
    <w:r>
      <w:rPr>
        <w:b/>
        <w:bCs/>
      </w:rPr>
      <w:fldChar w:fldCharType="separate"/>
    </w:r>
    <w:r>
      <w:rPr>
        <w:b/>
        <w:bCs/>
      </w:rPr>
      <w:t>09/28/25</w:t>
    </w:r>
    <w:r>
      <w:rPr>
        <w:b/>
        <w:bC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fldChar w:fldCharType="begin"/>
    </w:r>
    <w:r>
      <w:rPr>
        <w:b/>
        <w:bCs/>
      </w:rPr>
      <w:instrText xml:space="preserve"> DATE \@"MM\/dd\/yy" </w:instrText>
    </w:r>
    <w:r>
      <w:rPr>
        <w:b/>
        <w:bCs/>
      </w:rPr>
      <w:fldChar w:fldCharType="separate"/>
    </w:r>
    <w:r>
      <w:rPr>
        <w:b/>
        <w:bCs/>
      </w:rPr>
      <w:t>09/28/25</w:t>
    </w:r>
    <w:r>
      <w:rP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2880" w:end="0"/>
      <w:outlineLvl w:val="0"/>
    </w:pPr>
    <w:rPr>
      <w:rFonts w:ascii="Arial Narrow" w:hAnsi="Arial Narrow" w:cs="Arial Narrow"/>
      <w:b/>
      <w:sz w:val="28"/>
    </w:rPr>
  </w:style>
  <w:style w:type="paragraph" w:styleId="Heading2">
    <w:name w:val="heading 2"/>
    <w:basedOn w:val="Normal"/>
    <w:next w:val="Normal"/>
    <w:qFormat/>
    <w:pPr>
      <w:keepNext w:val="true"/>
      <w:numPr>
        <w:ilvl w:val="1"/>
        <w:numId w:val="1"/>
      </w:numPr>
      <w:ind w:firstLine="720" w:start="2880" w:end="0"/>
      <w:outlineLvl w:val="1"/>
    </w:pPr>
    <w:rPr>
      <w:rFonts w:ascii="Arial Narrow" w:hAnsi="Arial Narrow" w:cs="Arial Narrow"/>
      <w:sz w:val="28"/>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8"/>
    </w:rPr>
  </w:style>
  <w:style w:type="paragraph" w:styleId="Heading4">
    <w:name w:val="heading 4"/>
    <w:basedOn w:val="Normal"/>
    <w:next w:val="Normal"/>
    <w:qFormat/>
    <w:pPr>
      <w:keepNext w:val="true"/>
      <w:numPr>
        <w:ilvl w:val="3"/>
        <w:numId w:val="1"/>
      </w:numPr>
      <w:outlineLvl w:val="3"/>
    </w:pPr>
    <w:rPr>
      <w:rFonts w:ascii="Arial Narrow" w:hAnsi="Arial Narrow" w:cs="Arial Narrow"/>
      <w:sz w:val="28"/>
    </w:rPr>
  </w:style>
  <w:style w:type="paragraph" w:styleId="Heading5">
    <w:name w:val="heading 5"/>
    <w:basedOn w:val="Normal"/>
    <w:next w:val="Normal"/>
    <w:qFormat/>
    <w:pPr>
      <w:keepNext w:val="true"/>
      <w:numPr>
        <w:ilvl w:val="4"/>
        <w:numId w:val="1"/>
      </w:numPr>
      <w:outlineLvl w:val="4"/>
    </w:pPr>
    <w:rPr>
      <w:rFonts w:ascii="Arial Narrow" w:hAnsi="Arial Narrow" w:cs="Arial Narrow"/>
      <w:b/>
      <w:sz w:val="28"/>
      <w:u w:val="single"/>
    </w:rPr>
  </w:style>
  <w:style w:type="paragraph" w:styleId="Heading6">
    <w:name w:val="heading 6"/>
    <w:basedOn w:val="Normal"/>
    <w:next w:val="Normal"/>
    <w:qFormat/>
    <w:pPr>
      <w:keepNext w:val="true"/>
      <w:numPr>
        <w:ilvl w:val="5"/>
        <w:numId w:val="1"/>
      </w:numPr>
      <w:outlineLvl w:val="5"/>
    </w:pPr>
    <w:rPr>
      <w:rFonts w:ascii="Arial Narrow" w:hAnsi="Arial Narrow" w:cs="Arial Narrow"/>
      <w:b/>
      <w:sz w:val="32"/>
    </w:rPr>
  </w:style>
  <w:style w:type="paragraph" w:styleId="Heading7">
    <w:name w:val="heading 7"/>
    <w:basedOn w:val="Normal"/>
    <w:next w:val="Normal"/>
    <w:qFormat/>
    <w:pPr>
      <w:keepNext w:val="true"/>
      <w:numPr>
        <w:ilvl w:val="6"/>
        <w:numId w:val="1"/>
      </w:numPr>
      <w:outlineLvl w:val="6"/>
    </w:pPr>
    <w:rPr>
      <w:b/>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2001-10-16T11:45:00Z</dcterms:created>
  <dc:creator>Karen Price</dc:creator>
  <dc:description/>
  <dc:language>en-CA</dc:language>
  <cp:lastModifiedBy>Valued Gateway Client</cp:lastModifiedBy>
  <cp:lastPrinted>2001-10-19T15:02:00Z</cp:lastPrinted>
  <dcterms:modified xsi:type="dcterms:W3CDTF">2001-10-19T16:32:00Z</dcterms:modified>
  <cp:revision>5</cp:revision>
  <dc:subject/>
  <dc:title>ASSESSING MARKET BASED RATE AUTHORITY</dc:title>
</cp:coreProperties>
</file>