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rPr>
          <w:rFonts w:ascii="Arial" w:hAnsi="Arial" w:cs="Arial"/>
          <w:caps w:val="false"/>
          <w:smallCaps w:val="false"/>
        </w:rPr>
      </w:pPr>
      <w:r>
        <w:rPr>
          <w:rFonts w:cs="Arial" w:ascii="Arial" w:hAnsi="Arial"/>
          <w:caps w:val="false"/>
          <w:smallCaps w:val="false"/>
        </w:rPr>
        <w:t>UNITED STATES OF AMERICA</w:t>
      </w:r>
    </w:p>
    <w:p>
      <w:pPr>
        <w:pStyle w:val="Normal"/>
        <w:jc w:val="center"/>
        <w:rPr>
          <w:b/>
        </w:rPr>
      </w:pPr>
      <w:r>
        <w:rPr>
          <w:b/>
        </w:rPr>
        <w:t>FEDERAL ENERGY REGULATORY COMMISSION</w:t>
      </w:r>
    </w:p>
    <w:p>
      <w:pPr>
        <w:pStyle w:val="Normal"/>
        <w:jc w:val="center"/>
        <w:rPr>
          <w:b/>
        </w:rPr>
      </w:pPr>
      <w:r>
        <w:rPr>
          <w:b/>
        </w:rPr>
      </w:r>
    </w:p>
    <w:p>
      <w:pPr>
        <w:pStyle w:val="Normal"/>
        <w:rPr/>
      </w:pPr>
      <w:r>
        <w:rPr/>
        <w:t>_____________________________________</w:t>
      </w:r>
    </w:p>
    <w:p>
      <w:pPr>
        <w:pStyle w:val="Normal"/>
        <w:rPr/>
      </w:pPr>
      <w:r>
        <w:rPr/>
        <w:t>Investigation of Terms and Conditions</w:t>
        <w:tab/>
        <w:tab/>
        <w:t>)</w:t>
        <w:tab/>
        <w:t>Docket No. EL01-118-000</w:t>
      </w:r>
    </w:p>
    <w:p>
      <w:pPr>
        <w:pStyle w:val="Normal"/>
        <w:rPr/>
      </w:pPr>
      <w:r>
        <w:rPr/>
        <w:t xml:space="preserve">of Public Utility Market-Based </w:t>
        <w:tab/>
        <w:tab/>
        <w:tab/>
        <w:t>)</w:t>
      </w:r>
    </w:p>
    <w:p>
      <w:pPr>
        <w:pStyle w:val="Normal"/>
        <w:rPr/>
      </w:pPr>
      <w:r>
        <w:rPr/>
        <w:t>Rate Authorizations</w:t>
        <w:tab/>
        <w:tab/>
        <w:tab/>
        <w:tab/>
        <w:tab/>
        <w:t>)</w:t>
      </w:r>
    </w:p>
    <w:p>
      <w:pPr>
        <w:pStyle w:val="Normal"/>
        <w:rPr/>
      </w:pPr>
      <w:r>
        <w:rPr/>
        <w:t>_____________________________________</w:t>
      </w:r>
    </w:p>
    <w:p>
      <w:pPr>
        <w:pStyle w:val="Normal"/>
        <w:rPr/>
      </w:pPr>
      <w:r>
        <w:rPr/>
      </w:r>
    </w:p>
    <w:p>
      <w:pPr>
        <w:pStyle w:val="Normal"/>
        <w:rPr>
          <w:b/>
        </w:rPr>
      </w:pPr>
      <w:r>
        <w:rPr>
          <w:b/>
        </w:rPr>
      </w:r>
    </w:p>
    <w:p>
      <w:pPr>
        <w:pStyle w:val="BodyText"/>
        <w:rPr>
          <w:b/>
        </w:rPr>
      </w:pPr>
      <w:r>
        <w:rPr>
          <w:b/>
        </w:rPr>
        <w:t>MOTION OF ELECTRIC POWER SUPPLY ASSOCIATION FOR EXTENSION OF TIME TO COMMENT ON MARKET-BASED RATE</w:t>
      </w:r>
    </w:p>
    <w:p>
      <w:pPr>
        <w:pStyle w:val="BodyText"/>
        <w:rPr>
          <w:b/>
        </w:rPr>
      </w:pPr>
      <w:r>
        <w:rPr>
          <w:b/>
        </w:rPr>
        <w:t xml:space="preserve">AUTHORIZATION INVESTIGATION </w:t>
      </w:r>
    </w:p>
    <w:p>
      <w:pPr>
        <w:pStyle w:val="Normal"/>
        <w:jc w:val="center"/>
        <w:rPr/>
      </w:pPr>
      <w:r>
        <w:rPr/>
      </w:r>
    </w:p>
    <w:p>
      <w:pPr>
        <w:pStyle w:val="Normal"/>
        <w:rPr/>
      </w:pPr>
      <w:r>
        <w:rPr/>
      </w:r>
    </w:p>
    <w:p>
      <w:pPr>
        <w:pStyle w:val="Normal"/>
        <w:spacing w:lineRule="auto" w:line="480"/>
        <w:ind w:firstLine="720" w:end="0"/>
        <w:rPr/>
      </w:pPr>
      <w:r>
        <w:rPr/>
        <w:t>The Electric Power Supply Association (EPSA) respectfully requests that the Commission grant an extension of time to comment on the</w:t>
      </w:r>
      <w:r>
        <w:rPr>
          <w:i/>
        </w:rPr>
        <w:t xml:space="preserve"> Order Establishing Refund Effective Date and Proposing to Revise Market-Based Rate Tariffs and Authorizations</w:t>
      </w:r>
      <w:r>
        <w:rPr/>
        <w:t xml:space="preserve"> issued on November 20, 2001 until January 5, 2002 with reply comments due February 5, 2002.  The Order requires protests, comments and interventions in this docket to be filed 15 days from the date of such Order, </w:t>
      </w:r>
      <w:r>
        <w:rPr>
          <w:i/>
          <w:iCs/>
        </w:rPr>
        <w:t>i.e</w:t>
      </w:r>
      <w:r>
        <w:rPr/>
        <w:t xml:space="preserve">, December 5, 2002.  EPSA requests a 30-day extension of time with 30 days for reply comments.  </w:t>
      </w:r>
    </w:p>
    <w:p>
      <w:pPr>
        <w:pStyle w:val="Normal"/>
        <w:spacing w:lineRule="auto" w:line="480"/>
        <w:ind w:firstLine="720" w:end="0"/>
        <w:rPr/>
      </w:pPr>
      <w:r>
        <w:rPr/>
        <w:t>EPSA is the national trade association representing competitive power suppliers active in U.S. and global power markets.  EPSA’s members, which include power generators, power marketers and suppliers of goods and services to the electric power supply industry, share a commitment to bringing the benefits of competition to all electric customers.</w:t>
      </w:r>
      <w:r>
        <w:rPr>
          <w:rStyle w:val="FootnoteCharacters"/>
          <w:rStyle w:val="FootnoteReference"/>
        </w:rPr>
        <w:footnoteReference w:id="2"/>
      </w:r>
      <w:r>
        <w:rPr/>
        <w:t xml:space="preserve">  </w:t>
      </w:r>
    </w:p>
    <w:p>
      <w:pPr>
        <w:pStyle w:val="Normal"/>
        <w:spacing w:lineRule="auto" w:line="480"/>
        <w:ind w:firstLine="720" w:end="0"/>
        <w:rPr/>
      </w:pPr>
      <w:r>
        <w:rPr/>
        <w:t xml:space="preserve">The Commission’s Order has severe policy and legal implications for the </w:t>
      </w:r>
    </w:p>
    <w:p>
      <w:pPr>
        <w:pStyle w:val="Normal"/>
        <w:spacing w:lineRule="auto" w:line="480"/>
        <w:rPr/>
      </w:pPr>
      <w:r>
        <w:rPr/>
        <w:t xml:space="preserve">competitive power industry as it stands today.  EPSA members need the additional time to review the Order and give the Commission its most thorough analysis of the impact of this Order.  For now, even the most cursory review of the Order exposes undesirable and unintended affects – such unintended consequences that do nothing to support basic market conditions including many buyers and sellers, price transparency, liquidity and legal and regulatory stability. </w:t>
      </w:r>
    </w:p>
    <w:p>
      <w:pPr>
        <w:pStyle w:val="Normal"/>
        <w:spacing w:lineRule="auto" w:line="480"/>
        <w:ind w:firstLine="720" w:end="0"/>
        <w:rPr/>
      </w:pPr>
      <w:r>
        <w:rPr/>
        <w:t>A blanket refund authority would drastically increase the perceived risk level of energy companies in the minds of the investment and lending communities; it also raises serious legal issues under the Federal Power Act.  This lack of regulatory stability would limit competitive suppliers’ ability to finance power projects and trading operations because there would be a pronounced shift to short-term transactions, with the resulting increase in risk premiums.  Considerable capital investment has been placed in the energy markets with the expectation of receiving market-based prices.  The possibility of retroactive refunds based on the application of vague standards transforms the investment climate and puts existing investments at risk.  Conditioning market-based rate authority would also reduce the number of competitors and new entrants into the market, which runs counter to the Commission’s goals.</w:t>
      </w:r>
    </w:p>
    <w:p>
      <w:pPr>
        <w:pStyle w:val="BodyTextIndent"/>
        <w:tabs>
          <w:tab w:val="clear" w:pos="0"/>
          <w:tab w:val="left" w:pos="1440" w:leader="none"/>
        </w:tabs>
        <w:overflowPunct w:val="true"/>
        <w:autoSpaceDE w:val="true"/>
        <w:spacing w:lineRule="auto" w:line="480"/>
        <w:textAlignment w:val="auto"/>
        <w:rPr/>
      </w:pPr>
      <w:r>
        <w:rPr>
          <w:rFonts w:cs="Arial" w:ascii="Arial" w:hAnsi="Arial"/>
        </w:rPr>
        <w:t>Recognizing the vast and uncertain consequences of this Order, the Commission should grant industry participants sufficient time to study and reply to the Commission in this docket.  Prior to moving forward with an order that will have such a profound effect on the wholesale trading business as it exists today, the Commission must have a full and complete record.  A 15-day comment period is simply not enough time for industry participants to fully consider the implications and meaningfully reply to the Commission on such important matters, particularly given the holiday season and the full plate of issues including the ANOPR on Generator Interconnection Procedures, the NOPR on Standards of Conduct, not to mention the continuing and ongoing proceedings on RTO development currently being considered by the Commission and the industry.  For this reason, and the host of others aforementioned above, the Commission should grant EPSA’s request for extension in this docket until January 5, 2002 to file initial comments and February 5, 2002 to file reply comments.</w:t>
      </w:r>
      <w:r>
        <w:rPr/>
        <w:t xml:space="preserve">  </w:t>
      </w:r>
    </w:p>
    <w:p>
      <w:pPr>
        <w:pStyle w:val="BodyTextIndent"/>
        <w:tabs>
          <w:tab w:val="clear" w:pos="0"/>
          <w:tab w:val="left" w:pos="1440" w:leader="none"/>
        </w:tabs>
        <w:overflowPunct w:val="true"/>
        <w:autoSpaceDE w:val="true"/>
        <w:spacing w:lineRule="auto" w:line="480"/>
        <w:textAlignment w:val="auto"/>
        <w:rPr>
          <w:rFonts w:ascii="Arial" w:hAnsi="Arial" w:cs="Arial"/>
        </w:rPr>
      </w:pPr>
      <w:r>
        <w:rPr>
          <w:rFonts w:cs="Arial" w:ascii="Arial" w:hAnsi="Arial"/>
        </w:rPr>
      </w:r>
    </w:p>
    <w:p>
      <w:pPr>
        <w:pStyle w:val="Normal"/>
        <w:numPr>
          <w:ilvl w:val="0"/>
          <w:numId w:val="0"/>
        </w:numPr>
        <w:tabs>
          <w:tab w:val="clear" w:pos="720"/>
          <w:tab w:val="left" w:pos="1440" w:leader="none"/>
        </w:tabs>
        <w:spacing w:lineRule="auto" w:line="480"/>
        <w:ind w:hanging="0" w:start="0"/>
        <w:rPr/>
      </w:pPr>
      <w:r>
        <w:rPr/>
        <w:t>Respectfully submitted,</w:t>
      </w:r>
    </w:p>
    <w:p>
      <w:pPr>
        <w:pStyle w:val="Normal"/>
        <w:numPr>
          <w:ilvl w:val="0"/>
          <w:numId w:val="0"/>
        </w:numPr>
        <w:tabs>
          <w:tab w:val="clear" w:pos="720"/>
          <w:tab w:val="left" w:pos="1440" w:leader="none"/>
        </w:tabs>
        <w:spacing w:lineRule="auto" w:line="480"/>
        <w:ind w:hanging="0" w:start="0"/>
        <w:rPr/>
      </w:pPr>
      <w:r>
        <w:rPr/>
      </w:r>
    </w:p>
    <w:p>
      <w:pPr>
        <w:pStyle w:val="Normal"/>
        <w:numPr>
          <w:ilvl w:val="0"/>
          <w:numId w:val="0"/>
        </w:numPr>
        <w:tabs>
          <w:tab w:val="clear" w:pos="720"/>
          <w:tab w:val="left" w:pos="1440" w:leader="none"/>
        </w:tabs>
        <w:spacing w:lineRule="auto" w:line="480"/>
        <w:ind w:hanging="0" w:start="0"/>
        <w:rPr/>
      </w:pPr>
      <w:r>
        <w:rPr/>
        <w:t>Dated:  November 27,</w:t>
      </w:r>
      <w:r>
        <w:rPr>
          <w:vertAlign w:val="superscript"/>
        </w:rPr>
        <w:t xml:space="preserve"> </w:t>
      </w:r>
      <w:r>
        <w:rPr/>
        <w:t>2001</w:t>
        <w:tab/>
        <w:tab/>
      </w:r>
    </w:p>
    <w:p>
      <w:pPr>
        <w:pStyle w:val="Normal"/>
        <w:numPr>
          <w:ilvl w:val="0"/>
          <w:numId w:val="0"/>
        </w:numPr>
        <w:tabs>
          <w:tab w:val="clear" w:pos="720"/>
          <w:tab w:val="left" w:pos="1440" w:leader="none"/>
        </w:tabs>
        <w:spacing w:lineRule="auto" w:line="480"/>
        <w:ind w:hanging="0" w:start="0"/>
        <w:rPr/>
      </w:pPr>
      <w:r>
        <w:rPr/>
        <w:tab/>
        <w:tab/>
        <w:tab/>
        <w:t>ELECTRIC POWER SUPPLY ASSOCIATION</w:t>
      </w:r>
    </w:p>
    <w:p>
      <w:pPr>
        <w:pStyle w:val="Normal"/>
        <w:numPr>
          <w:ilvl w:val="0"/>
          <w:numId w:val="0"/>
        </w:numPr>
        <w:tabs>
          <w:tab w:val="clear" w:pos="720"/>
          <w:tab w:val="left" w:pos="1440" w:leader="none"/>
        </w:tabs>
        <w:spacing w:lineRule="auto" w:line="480"/>
        <w:ind w:firstLine="720" w:start="0" w:end="0"/>
        <w:rPr/>
      </w:pPr>
      <w:r>
        <w:rPr/>
      </w:r>
    </w:p>
    <w:p>
      <w:pPr>
        <w:pStyle w:val="Normal"/>
        <w:numPr>
          <w:ilvl w:val="0"/>
          <w:numId w:val="0"/>
        </w:numPr>
        <w:tabs>
          <w:tab w:val="clear" w:pos="720"/>
          <w:tab w:val="left" w:pos="1440" w:leader="none"/>
        </w:tabs>
        <w:ind w:firstLine="720" w:start="0" w:end="0"/>
        <w:rPr/>
      </w:pPr>
      <w:r>
        <w:rPr/>
        <w:softHyphen/>
        <w:softHyphen/>
        <w:softHyphen/>
        <w:softHyphen/>
        <w:softHyphen/>
        <w:tab/>
        <w:tab/>
        <w:tab/>
        <w:tab/>
        <w:tab/>
        <w:tab/>
        <w:tab/>
        <w:tab/>
        <w:tab/>
        <w:tab/>
        <w:tab/>
        <w:tab/>
        <w:tab/>
        <w:tab/>
        <w:t>__________________________________________</w:t>
      </w:r>
    </w:p>
    <w:p>
      <w:pPr>
        <w:pStyle w:val="Normal"/>
        <w:numPr>
          <w:ilvl w:val="0"/>
          <w:numId w:val="0"/>
        </w:numPr>
        <w:tabs>
          <w:tab w:val="clear" w:pos="720"/>
          <w:tab w:val="left" w:pos="1440" w:leader="none"/>
        </w:tabs>
        <w:ind w:firstLine="720" w:start="0" w:end="0"/>
        <w:rPr/>
      </w:pPr>
      <w:r>
        <w:rPr/>
        <w:tab/>
        <w:tab/>
        <w:tab/>
        <w:tab/>
        <w:t>Julie Simon, Vice President of Policy</w:t>
      </w:r>
    </w:p>
    <w:p>
      <w:pPr>
        <w:pStyle w:val="Normal"/>
        <w:numPr>
          <w:ilvl w:val="0"/>
          <w:numId w:val="0"/>
        </w:numPr>
        <w:tabs>
          <w:tab w:val="clear" w:pos="720"/>
          <w:tab w:val="left" w:pos="1440" w:leader="none"/>
        </w:tabs>
        <w:ind w:firstLine="720" w:start="0" w:end="0"/>
        <w:rPr/>
      </w:pPr>
      <w:r>
        <w:rPr/>
        <w:tab/>
        <w:tab/>
        <w:tab/>
        <w:tab/>
        <w:t>Erin Perrigo, Manager of Policy</w:t>
      </w:r>
    </w:p>
    <w:p>
      <w:pPr>
        <w:pStyle w:val="Normal"/>
        <w:numPr>
          <w:ilvl w:val="0"/>
          <w:numId w:val="0"/>
        </w:numPr>
        <w:tabs>
          <w:tab w:val="clear" w:pos="720"/>
          <w:tab w:val="left" w:pos="1440" w:leader="none"/>
        </w:tabs>
        <w:ind w:firstLine="720" w:start="0" w:end="0"/>
        <w:rPr/>
      </w:pPr>
      <w:r>
        <w:rPr/>
        <w:tab/>
        <w:tab/>
        <w:tab/>
        <w:tab/>
        <w:t>Electric Power Supply Association</w:t>
      </w:r>
    </w:p>
    <w:p>
      <w:pPr>
        <w:pStyle w:val="Normal"/>
        <w:numPr>
          <w:ilvl w:val="0"/>
          <w:numId w:val="0"/>
        </w:numPr>
        <w:tabs>
          <w:tab w:val="clear" w:pos="720"/>
          <w:tab w:val="left" w:pos="1440" w:leader="none"/>
        </w:tabs>
        <w:ind w:firstLine="720" w:start="0" w:end="0"/>
        <w:rPr/>
      </w:pPr>
      <w:r>
        <w:rPr/>
        <w:tab/>
        <w:tab/>
        <w:tab/>
        <w:tab/>
        <w:t>1401 New York Ave, NW</w:t>
      </w:r>
    </w:p>
    <w:p>
      <w:pPr>
        <w:pStyle w:val="Normal"/>
        <w:numPr>
          <w:ilvl w:val="0"/>
          <w:numId w:val="0"/>
        </w:numPr>
        <w:tabs>
          <w:tab w:val="clear" w:pos="720"/>
          <w:tab w:val="left" w:pos="1440" w:leader="none"/>
        </w:tabs>
        <w:ind w:firstLine="720" w:start="0" w:end="0"/>
        <w:rPr/>
      </w:pPr>
      <w:r>
        <w:rPr/>
        <w:tab/>
        <w:tab/>
        <w:tab/>
        <w:tab/>
        <w:t>11</w:t>
      </w:r>
      <w:r>
        <w:rPr>
          <w:vertAlign w:val="superscript"/>
        </w:rPr>
        <w:t>th</w:t>
      </w:r>
      <w:r>
        <w:rPr/>
        <w:t xml:space="preserve"> Floor</w:t>
      </w:r>
    </w:p>
    <w:p>
      <w:pPr>
        <w:pStyle w:val="Normal"/>
        <w:numPr>
          <w:ilvl w:val="0"/>
          <w:numId w:val="0"/>
        </w:numPr>
        <w:tabs>
          <w:tab w:val="clear" w:pos="720"/>
          <w:tab w:val="left" w:pos="1440" w:leader="none"/>
        </w:tabs>
        <w:ind w:firstLine="720" w:start="0" w:end="0"/>
        <w:rPr/>
      </w:pPr>
      <w:r>
        <w:rPr/>
        <w:tab/>
        <w:tab/>
        <w:tab/>
        <w:tab/>
        <w:t>Washington, D.C.  20005</w:t>
      </w:r>
    </w:p>
    <w:p>
      <w:pPr>
        <w:pStyle w:val="Normal"/>
        <w:numPr>
          <w:ilvl w:val="0"/>
          <w:numId w:val="0"/>
        </w:numPr>
        <w:tabs>
          <w:tab w:val="clear" w:pos="720"/>
          <w:tab w:val="left" w:pos="1440" w:leader="none"/>
        </w:tabs>
        <w:ind w:firstLine="720" w:start="0" w:end="0"/>
        <w:rPr/>
      </w:pPr>
      <w:r>
        <w:rPr/>
        <w:tab/>
        <w:tab/>
        <w:tab/>
        <w:tab/>
        <w:t>Phone: 202-628-8200</w:t>
      </w:r>
    </w:p>
    <w:p>
      <w:pPr>
        <w:pStyle w:val="Normal"/>
        <w:numPr>
          <w:ilvl w:val="0"/>
          <w:numId w:val="0"/>
        </w:numPr>
        <w:tabs>
          <w:tab w:val="clear" w:pos="720"/>
          <w:tab w:val="left" w:pos="1440" w:leader="none"/>
        </w:tabs>
        <w:ind w:firstLine="720" w:start="0" w:end="0"/>
        <w:rPr/>
      </w:pPr>
      <w:r>
        <w:rPr/>
        <w:tab/>
        <w:tab/>
        <w:tab/>
        <w:tab/>
        <w:t>Fax: 202-628-8260</w:t>
      </w:r>
    </w:p>
    <w:p>
      <w:pPr>
        <w:pStyle w:val="Normal"/>
        <w:numPr>
          <w:ilvl w:val="0"/>
          <w:numId w:val="0"/>
        </w:numPr>
        <w:tabs>
          <w:tab w:val="clear" w:pos="720"/>
          <w:tab w:val="left" w:pos="1440" w:leader="none"/>
        </w:tabs>
        <w:ind w:firstLine="720" w:start="0" w:end="0"/>
        <w:rPr/>
      </w:pPr>
      <w:r>
        <w:rPr/>
        <w:tab/>
        <w:tab/>
        <w:tab/>
        <w:tab/>
      </w:r>
    </w:p>
    <w:p>
      <w:pPr>
        <w:pStyle w:val="Normal"/>
        <w:numPr>
          <w:ilvl w:val="0"/>
          <w:numId w:val="0"/>
        </w:numPr>
        <w:tabs>
          <w:tab w:val="clear" w:pos="720"/>
          <w:tab w:val="left" w:pos="1440" w:leader="none"/>
        </w:tabs>
        <w:ind w:firstLine="720" w:start="0" w:end="0"/>
        <w:rPr/>
      </w:pPr>
      <w:r>
        <w:rPr/>
      </w:r>
      <w:r>
        <w:br w:type="page"/>
      </w:r>
    </w:p>
    <w:p>
      <w:pPr>
        <w:pStyle w:val="Normal"/>
        <w:numPr>
          <w:ilvl w:val="0"/>
          <w:numId w:val="0"/>
        </w:numPr>
        <w:tabs>
          <w:tab w:val="clear" w:pos="720"/>
          <w:tab w:val="left" w:pos="1440" w:leader="none"/>
        </w:tabs>
        <w:ind w:firstLine="720" w:start="0" w:end="0"/>
        <w:rPr/>
      </w:pPr>
      <w:r>
        <w:rPr/>
      </w:r>
    </w:p>
    <w:p>
      <w:pPr>
        <w:pStyle w:val="TitleStyle"/>
        <w:spacing w:lineRule="auto" w:line="480"/>
        <w:rPr>
          <w:rFonts w:ascii="Arial" w:hAnsi="Arial" w:cs="Arial"/>
          <w:u w:val="single"/>
        </w:rPr>
      </w:pPr>
      <w:r>
        <w:rPr>
          <w:rFonts w:cs="Arial" w:ascii="Arial" w:hAnsi="Arial"/>
          <w:u w:val="single"/>
        </w:rPr>
        <w:t>CErtificate of service</w:t>
      </w:r>
    </w:p>
    <w:p>
      <w:pPr>
        <w:pStyle w:val="TitleStyle"/>
        <w:spacing w:lineRule="auto" w:line="480"/>
        <w:rPr>
          <w:rFonts w:ascii="Arial" w:hAnsi="Arial" w:cs="Arial"/>
          <w:u w:val="single"/>
        </w:rPr>
      </w:pPr>
      <w:r>
        <w:rPr>
          <w:rFonts w:cs="Arial" w:ascii="Arial" w:hAnsi="Arial"/>
          <w:u w:val="single"/>
        </w:rPr>
      </w:r>
    </w:p>
    <w:p>
      <w:pPr>
        <w:pStyle w:val="BodyTextStyle"/>
        <w:spacing w:lineRule="auto" w:line="480"/>
        <w:rPr>
          <w:rFonts w:ascii="Arial" w:hAnsi="Arial" w:cs="Arial"/>
        </w:rPr>
      </w:pPr>
      <w:r>
        <w:rPr>
          <w:rFonts w:cs="Arial" w:ascii="Arial" w:hAnsi="Arial"/>
        </w:rPr>
        <w:t>I hereby certify that I have served a copy of the foregoing document by first class United States mail, postage prepaid, upon each person designated on the official service list compiled by the Secretary in this proceeding.</w:t>
      </w:r>
    </w:p>
    <w:p>
      <w:pPr>
        <w:pStyle w:val="BodyText"/>
        <w:spacing w:lineRule="auto" w:line="480"/>
        <w:rPr/>
      </w:pPr>
      <w:r>
        <w:rPr>
          <w:caps/>
        </w:rPr>
        <w:t>d</w:t>
      </w:r>
      <w:r>
        <w:rPr/>
        <w:t>ated at Washington, D.C. this 27</w:t>
      </w:r>
      <w:r>
        <w:rPr>
          <w:vertAlign w:val="superscript"/>
        </w:rPr>
        <w:t>th</w:t>
      </w:r>
      <w:r>
        <w:rPr/>
        <w:t xml:space="preserve"> day of November, 2001.</w:t>
      </w:r>
    </w:p>
    <w:p>
      <w:pPr>
        <w:pStyle w:val="Normal"/>
        <w:spacing w:lineRule="auto" w:line="480"/>
        <w:rPr/>
      </w:pPr>
      <w:r>
        <w:rPr/>
      </w:r>
    </w:p>
    <w:p>
      <w:pPr>
        <w:pStyle w:val="Normal"/>
        <w:spacing w:lineRule="auto" w:line="480"/>
        <w:rPr/>
      </w:pPr>
      <w:r>
        <w:rPr/>
      </w:r>
    </w:p>
    <w:p>
      <w:pPr>
        <w:pStyle w:val="Normal"/>
        <w:spacing w:lineRule="auto" w:line="480"/>
        <w:rPr/>
      </w:pPr>
      <w:r>
        <w:rPr/>
        <w:tab/>
        <w:tab/>
        <w:tab/>
        <w:tab/>
        <w:tab/>
        <w:tab/>
        <w:tab/>
        <w:tab/>
        <w:tab/>
        <w:tab/>
        <w:tab/>
        <w:tab/>
      </w:r>
    </w:p>
    <w:p>
      <w:pPr>
        <w:pStyle w:val="SignatureBlock"/>
        <w:spacing w:lineRule="auto" w:line="240"/>
        <w:ind w:start="3600" w:end="0"/>
        <w:rPr>
          <w:rFonts w:ascii="Arial" w:hAnsi="Arial" w:cs="Arial"/>
        </w:rPr>
      </w:pPr>
      <w:r>
        <w:rPr>
          <w:rFonts w:cs="Arial" w:ascii="Arial" w:hAnsi="Arial"/>
        </w:rPr>
        <w:t>___________________________________</w:t>
      </w:r>
    </w:p>
    <w:p>
      <w:pPr>
        <w:pStyle w:val="Normal"/>
        <w:numPr>
          <w:ilvl w:val="0"/>
          <w:numId w:val="0"/>
        </w:numPr>
        <w:tabs>
          <w:tab w:val="clear" w:pos="720"/>
          <w:tab w:val="left" w:pos="1440" w:leader="none"/>
        </w:tabs>
        <w:ind w:firstLine="720" w:start="0" w:end="0"/>
        <w:rPr/>
      </w:pPr>
      <w:r>
        <w:rPr/>
        <w:tab/>
        <w:tab/>
        <w:tab/>
        <w:tab/>
        <w:t>Julie Simon</w:t>
      </w:r>
    </w:p>
    <w:p>
      <w:pPr>
        <w:pStyle w:val="Normal"/>
        <w:tabs>
          <w:tab w:val="clear" w:pos="720"/>
          <w:tab w:val="left" w:pos="1440" w:leader="none"/>
        </w:tabs>
        <w:ind w:start="720" w:end="0"/>
        <w:rPr/>
      </w:pPr>
      <w:r>
        <w:rPr/>
      </w:r>
    </w:p>
    <w:p>
      <w:pPr>
        <w:pStyle w:val="Normal"/>
        <w:rPr/>
      </w:pPr>
      <w:r>
        <w:rPr/>
      </w:r>
    </w:p>
    <w:p>
      <w:pPr>
        <w:pStyle w:val="Normal"/>
        <w:ind w:firstLine="720" w:end="0"/>
        <w:rPr>
          <w:rFonts w:eastAsia="Arial"/>
        </w:rPr>
      </w:pPr>
      <w:r>
        <w:rPr>
          <w:rFonts w:eastAsia="Arial"/>
        </w:rPr>
        <w:t xml:space="preserve"> </w:t>
      </w:r>
    </w:p>
    <w:p>
      <w:pPr>
        <w:pStyle w:val="Normal"/>
        <w:rPr/>
      </w:pPr>
      <w:r>
        <w:rPr/>
      </w:r>
    </w:p>
    <w:p>
      <w:pPr>
        <w:pStyle w:val="Normal"/>
        <w:ind w:firstLine="720" w:end="0"/>
        <w:rPr/>
      </w:pPr>
      <w:r>
        <w:rPr/>
      </w:r>
    </w:p>
    <w:p>
      <w:pPr>
        <w:pStyle w:val="Normal"/>
        <w:numPr>
          <w:ilvl w:val="0"/>
          <w:numId w:val="0"/>
        </w:numPr>
        <w:tabs>
          <w:tab w:val="clear" w:pos="720"/>
          <w:tab w:val="left" w:pos="0" w:leader="none"/>
        </w:tabs>
        <w:ind w:firstLine="720" w:start="0" w:end="0"/>
        <w:rPr/>
      </w:pPr>
      <w:r>
        <w:rPr/>
      </w:r>
    </w:p>
    <w:p>
      <w:pPr>
        <w:pStyle w:val="Normal"/>
        <w:spacing w:lineRule="auto" w:line="480"/>
        <w:ind w:firstLine="720" w:end="0"/>
        <w:rPr/>
      </w:pPr>
      <w:r>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charset w:val="00" w:characterSet="windows-1252"/>
    <w:family w:val="roman"/>
    <w:pitch w:val="variable"/>
  </w:font>
  <w:font w:name="Galliard">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comments contained in this filing represent the position of EPSA as an organization, but not necessarily the views of any particular member with respect to any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8"/>
      </w:rPr>
    </w:pPr>
    <w:r>
      <w:rPr>
        <w:b/>
        <w:bCs/>
        <w:sz w:val="28"/>
      </w:rPr>
      <w:t>DRAFT</w:t>
    </w:r>
  </w:p>
</w:hdr>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BodyTextIndent">
    <w:name w:val="Body Text Indent"/>
    <w:basedOn w:val="Normal"/>
    <w:pPr>
      <w:numPr>
        <w:ilvl w:val="0"/>
        <w:numId w:val="0"/>
      </w:numPr>
      <w:tabs>
        <w:tab w:val="clear" w:pos="720"/>
        <w:tab w:val="left" w:pos="0" w:leader="none"/>
      </w:tabs>
      <w:overflowPunct w:val="false"/>
      <w:autoSpaceDE w:val="false"/>
      <w:ind w:firstLine="720" w:start="0" w:end="0"/>
      <w:textAlignment w:val="baseline"/>
    </w:pPr>
    <w:rPr>
      <w:rFonts w:ascii="CG Times" w:hAnsi="CG Times" w:cs="CG Times"/>
    </w:rPr>
  </w:style>
  <w:style w:type="paragraph" w:styleId="BodySingle">
    <w:name w:val="Body Single"/>
    <w:basedOn w:val="Normal"/>
    <w:qFormat/>
    <w:pPr>
      <w:spacing w:lineRule="exact" w:line="260" w:before="260" w:after="0"/>
      <w:ind w:firstLine="1080" w:start="0" w:end="0"/>
    </w:pPr>
    <w:rPr>
      <w:rFonts w:ascii="Galliard;Times New Roman" w:hAnsi="Galliard;Times New Roman" w:cs="Galliard;Times New Roman"/>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rPr>
  </w:style>
  <w:style w:type="paragraph" w:styleId="TitleStyle">
    <w:name w:val="Title Style"/>
    <w:basedOn w:val="Normal"/>
    <w:qFormat/>
    <w:pPr>
      <w:jc w:val="center"/>
    </w:pPr>
    <w:rPr>
      <w:rFonts w:ascii="Galliard;Times New Roman" w:hAnsi="Galliard;Times New Roman" w:cs="Galliard;Times New Roman"/>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2001-11-26T14:21:00Z</dcterms:created>
  <dc:creator>Karen Price</dc:creator>
  <dc:description/>
  <dc:language>en-CA</dc:language>
  <cp:lastModifiedBy>Valued Gateway Client</cp:lastModifiedBy>
  <cp:lastPrinted>2001-11-26T13:56:00Z</cp:lastPrinted>
  <dcterms:modified xsi:type="dcterms:W3CDTF">2001-11-26T19:06:00Z</dcterms:modified>
  <cp:revision>19</cp:revision>
  <dc:subject/>
  <dc:title>UNITED STATES OF AMERICA</dc:title>
</cp:coreProperties>
</file>