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6750" w:leader="none"/>
        </w:tabs>
        <w:jc w:val="center"/>
        <w:rPr>
          <w:rFonts w:ascii="CG Times" w:hAnsi="CG Times" w:cs="Arial"/>
          <w:b/>
        </w:rPr>
      </w:pPr>
      <w:r>
        <w:rPr>
          <w:rFonts w:cs="Arial" w:ascii="CG Times" w:hAnsi="CG Times"/>
          <w:b/>
        </w:rPr>
      </w:r>
    </w:p>
    <w:p>
      <w:pPr>
        <w:pStyle w:val="Normal"/>
        <w:tabs>
          <w:tab w:val="clear" w:pos="720"/>
          <w:tab w:val="left" w:pos="1440" w:leader="none"/>
          <w:tab w:val="left" w:pos="6750" w:leader="none"/>
        </w:tabs>
        <w:jc w:val="center"/>
        <w:rPr>
          <w:rFonts w:ascii="CG Times" w:hAnsi="CG Times" w:cs="Arial"/>
          <w:b/>
        </w:rPr>
      </w:pPr>
      <w:r>
        <w:rPr>
          <w:rFonts w:cs="Arial" w:ascii="CG Times" w:hAnsi="CG Times"/>
          <w:b/>
        </w:rPr>
        <w:t xml:space="preserve">EPSA’S INITIAL THOUGHTS ON A NEW STANDARD </w:t>
      </w:r>
    </w:p>
    <w:p>
      <w:pPr>
        <w:pStyle w:val="Normal"/>
        <w:tabs>
          <w:tab w:val="clear" w:pos="720"/>
          <w:tab w:val="left" w:pos="1440" w:leader="none"/>
          <w:tab w:val="left" w:pos="6750" w:leader="none"/>
        </w:tabs>
        <w:jc w:val="center"/>
        <w:rPr>
          <w:rFonts w:ascii="CG Times" w:hAnsi="CG Times" w:cs="Arial"/>
          <w:b/>
        </w:rPr>
      </w:pPr>
      <w:r>
        <w:rPr>
          <w:rFonts w:cs="Arial" w:ascii="CG Times" w:hAnsi="CG Times"/>
          <w:b/>
        </w:rPr>
        <w:t>FOR MARKET-BASED RATE AUTHORITY</w:t>
      </w:r>
    </w:p>
    <w:p>
      <w:pPr>
        <w:pStyle w:val="Normal"/>
        <w:tabs>
          <w:tab w:val="clear" w:pos="720"/>
          <w:tab w:val="left" w:pos="1440" w:leader="none"/>
          <w:tab w:val="left" w:pos="6750" w:leader="none"/>
        </w:tabs>
        <w:rPr>
          <w:rFonts w:ascii="CG Times" w:hAnsi="CG Times" w:cs="Arial"/>
          <w:b/>
        </w:rPr>
      </w:pPr>
      <w:r>
        <w:rPr>
          <w:rFonts w:cs="Arial" w:ascii="CG Times" w:hAnsi="CG Times"/>
          <w:b/>
        </w:rPr>
      </w:r>
    </w:p>
    <w:p>
      <w:pPr>
        <w:pStyle w:val="Normal"/>
        <w:tabs>
          <w:tab w:val="clear" w:pos="720"/>
          <w:tab w:val="left" w:pos="1440" w:leader="none"/>
          <w:tab w:val="left" w:pos="6750" w:leader="none"/>
        </w:tabs>
        <w:rPr>
          <w:rFonts w:ascii="CG Times" w:hAnsi="CG Times" w:cs="Arial"/>
          <w:b/>
        </w:rPr>
      </w:pPr>
      <w:r>
        <w:rPr>
          <w:rFonts w:cs="Arial" w:ascii="CG Times" w:hAnsi="CG Times"/>
          <w:b/>
        </w:rPr>
        <w:t xml:space="preserve">BACKGROUND AND PURPOSE </w:t>
      </w:r>
    </w:p>
    <w:p>
      <w:pPr>
        <w:pStyle w:val="Normal"/>
        <w:numPr>
          <w:ilvl w:val="0"/>
          <w:numId w:val="0"/>
        </w:numPr>
        <w:tabs>
          <w:tab w:val="clear" w:pos="720"/>
          <w:tab w:val="left" w:pos="1440" w:leader="none"/>
        </w:tabs>
        <w:ind w:hanging="0" w:start="0"/>
        <w:rPr>
          <w:rFonts w:ascii="CG Times" w:hAnsi="CG Times" w:cs="Arial"/>
          <w:b/>
        </w:rPr>
      </w:pPr>
      <w:r>
        <w:rPr>
          <w:rFonts w:cs="Arial" w:ascii="CG Times" w:hAnsi="CG Times"/>
          <w:b/>
        </w:rPr>
      </w:r>
    </w:p>
    <w:p>
      <w:pPr>
        <w:pStyle w:val="Normal"/>
        <w:numPr>
          <w:ilvl w:val="0"/>
          <w:numId w:val="0"/>
        </w:numPr>
        <w:tabs>
          <w:tab w:val="clear" w:pos="720"/>
          <w:tab w:val="left" w:pos="1440" w:leader="none"/>
        </w:tabs>
        <w:ind w:firstLine="720" w:start="0" w:end="0"/>
        <w:rPr/>
      </w:pPr>
      <w:r>
        <w:rPr>
          <w:rFonts w:cs="Arial" w:ascii="CG Times" w:hAnsi="CG Times"/>
        </w:rPr>
        <w:t>In recent months, FERC Commissioners have expressed concerns about the efficacy of the current Hub-and-Spoke approach to assess requests for market-based rate authority.</w:t>
      </w:r>
      <w:r>
        <w:rPr>
          <w:rStyle w:val="FootnoteCharacters"/>
          <w:rStyle w:val="FootnoteReference"/>
          <w:rFonts w:cs="Arial" w:ascii="CG Times" w:hAnsi="CG Times"/>
        </w:rPr>
        <w:footnoteReference w:id="2"/>
      </w:r>
      <w:r>
        <w:rPr>
          <w:rFonts w:cs="Arial" w:ascii="CG Times" w:hAnsi="CG Times"/>
        </w:rPr>
        <w:t xml:space="preserve">  In fact, FERC Staff recently released a paper on market-based rate authority discussing alternatives to the traditional Hub-and-Spoke methodology.</w:t>
      </w:r>
      <w:r>
        <w:rPr>
          <w:rStyle w:val="FootnoteCharacters"/>
          <w:rStyle w:val="FootnoteReference"/>
          <w:rFonts w:cs="Arial" w:ascii="CG Times" w:hAnsi="CG Times"/>
        </w:rPr>
        <w:footnoteReference w:id="3"/>
      </w:r>
      <w:r>
        <w:rPr>
          <w:rFonts w:cs="Arial" w:ascii="CG Times" w:hAnsi="CG Times"/>
        </w:rPr>
        <w:t xml:space="preserve"> In its paper, FERC Staff states, and EPSA</w:t>
      </w:r>
      <w:r>
        <w:rPr>
          <w:rStyle w:val="FootnoteCharacters"/>
          <w:rStyle w:val="FootnoteReference"/>
          <w:rFonts w:cs="Arial" w:ascii="CG Times" w:hAnsi="CG Times"/>
        </w:rPr>
        <w:footnoteReference w:id="4"/>
      </w:r>
      <w:r>
        <w:rPr>
          <w:rFonts w:cs="Arial" w:ascii="CG Times" w:hAnsi="CG Times"/>
        </w:rPr>
        <w:t xml:space="preserve"> agrees, that the Hub-and-Spoke test for market-based rates has been very successful in compelling vertically integrated utilities to adopt open access transmission tariffs.  In addition, EPSA believes the Hub-and-Spoke test for market-based rate authority has encouraged significant new entry into the generation market.  </w:t>
      </w:r>
    </w:p>
    <w:p>
      <w:pPr>
        <w:pStyle w:val="Normal"/>
        <w:numPr>
          <w:ilvl w:val="0"/>
          <w:numId w:val="0"/>
        </w:numPr>
        <w:tabs>
          <w:tab w:val="clear" w:pos="720"/>
          <w:tab w:val="left" w:pos="144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1440" w:leader="none"/>
        </w:tabs>
        <w:ind w:firstLine="720" w:start="0" w:end="0"/>
        <w:rPr/>
      </w:pPr>
      <w:r>
        <w:rPr>
          <w:rFonts w:cs="Arial" w:ascii="CG Times" w:hAnsi="CG Times"/>
        </w:rPr>
        <w:t>However, since FERC has indicated that it may want to consider an update to the current market-based rate procedures, EPSA would like to comment on the Staff’s options and suggest what it prefers if a change is to be made.  With any new test proposal, FERC should keep in mind that new entry is the essence of competition; the opportunity for new entry forces existing suppliers to keep prices low and improve service.  For this reason, a</w:t>
      </w:r>
      <w:r>
        <w:rPr>
          <w:rFonts w:cs="CG Times" w:ascii="CG Times" w:hAnsi="CG Times"/>
        </w:rPr>
        <w:t xml:space="preserve">ny methodology for assessing market-based rate authority should continue to encourage new entry.  </w:t>
      </w:r>
    </w:p>
    <w:p>
      <w:pPr>
        <w:pStyle w:val="Normal"/>
        <w:numPr>
          <w:ilvl w:val="0"/>
          <w:numId w:val="0"/>
        </w:numPr>
        <w:tabs>
          <w:tab w:val="clear" w:pos="720"/>
          <w:tab w:val="left" w:pos="0" w:leader="none"/>
        </w:tabs>
        <w:ind w:firstLine="720" w:start="0" w:end="0"/>
        <w:rPr>
          <w:rFonts w:ascii="CG Times" w:hAnsi="CG Times" w:cs="Arial"/>
        </w:rPr>
      </w:pPr>
      <w:r>
        <w:rPr>
          <w:rFonts w:cs="Arial" w:ascii="CG Times" w:hAnsi="CG Times"/>
        </w:rPr>
      </w:r>
    </w:p>
    <w:p>
      <w:pPr>
        <w:pStyle w:val="Normal"/>
        <w:ind w:firstLine="720" w:end="0"/>
        <w:rPr/>
      </w:pPr>
      <w:r>
        <w:rPr>
          <w:rFonts w:cs="CG Times" w:ascii="CG Times" w:hAnsi="CG Times"/>
        </w:rPr>
        <w:t xml:space="preserve">Also, the search for the right market-based rate test should be secondary to FERC’s most important objective: to foster the formation of RTO markets consistent with Order No. 2000.  The surest way to diffuse market power is to have an RTO with the right structures and rules that facilitates liquid markets and transmission access.  Far more important than a new market-based rate authority test are actions that (a) standardize market design and market structures, (b) develop a new </w:t>
      </w:r>
      <w:r>
        <w:rPr>
          <w:rFonts w:cs="CG Times" w:ascii="CG Times" w:hAnsi="CG Times"/>
          <w:i/>
        </w:rPr>
        <w:t>pro forma</w:t>
      </w:r>
      <w:r>
        <w:rPr>
          <w:rFonts w:cs="CG Times" w:ascii="CG Times" w:hAnsi="CG Times"/>
        </w:rPr>
        <w:t xml:space="preserve"> tariff, (c) broaden competitors’ access to non-discriminatory transmission service by establishing broadly defined RTOs, and (d) facilitate new entry with actions such as requiring fair and effective interconnection policies for new merchant plants.</w:t>
      </w:r>
    </w:p>
    <w:p>
      <w:pPr>
        <w:pStyle w:val="Normal"/>
        <w:numPr>
          <w:ilvl w:val="0"/>
          <w:numId w:val="0"/>
        </w:numPr>
        <w:tabs>
          <w:tab w:val="clear" w:pos="720"/>
          <w:tab w:val="left" w:pos="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0" w:leader="none"/>
        </w:tabs>
        <w:ind w:firstLine="720" w:start="0" w:end="0"/>
        <w:rPr>
          <w:rFonts w:ascii="CG Times" w:hAnsi="CG Times" w:cs="Arial"/>
        </w:rPr>
      </w:pPr>
      <w:r>
        <w:rPr>
          <w:rFonts w:cs="Arial" w:ascii="CG Times" w:hAnsi="CG Times"/>
        </w:rPr>
        <w:t xml:space="preserve">FERC Staff, in its market-based rate options paper, also introduced the idea of adding conditions to market-based rate authority.  This conditioning of market-based rate authority would devastate the competitive power industry.  Not only would such a move cause significant regulatory uncertainty for energy companies, but also it would exceed FERC’s authority under Section 206(b) of the Federal Power Act.  Conditioning market-based rate authority would cause a severe regulatory, legal, and financial crisis in the competitive power industry.  </w:t>
      </w:r>
    </w:p>
    <w:p>
      <w:pPr>
        <w:pStyle w:val="Normal"/>
        <w:numPr>
          <w:ilvl w:val="0"/>
          <w:numId w:val="0"/>
        </w:numPr>
        <w:tabs>
          <w:tab w:val="clear" w:pos="720"/>
          <w:tab w:val="left" w:pos="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0" w:leader="none"/>
        </w:tabs>
        <w:ind w:hanging="0" w:start="0"/>
        <w:rPr>
          <w:rFonts w:ascii="CG Times" w:hAnsi="CG Times" w:cs="Arial"/>
          <w:b/>
        </w:rPr>
      </w:pPr>
      <w:r>
        <w:rPr>
          <w:rFonts w:cs="Arial" w:ascii="CG Times" w:hAnsi="CG Times"/>
          <w:b/>
        </w:rPr>
        <w:t>EPSA POSITION</w:t>
      </w:r>
    </w:p>
    <w:p>
      <w:pPr>
        <w:pStyle w:val="Normal"/>
        <w:numPr>
          <w:ilvl w:val="0"/>
          <w:numId w:val="0"/>
        </w:numPr>
        <w:tabs>
          <w:tab w:val="clear" w:pos="720"/>
          <w:tab w:val="left" w:pos="1440" w:leader="none"/>
        </w:tabs>
        <w:ind w:hanging="0" w:start="0"/>
        <w:rPr>
          <w:rFonts w:ascii="CG Times" w:hAnsi="CG Times" w:cs="Arial"/>
          <w:b/>
        </w:rPr>
      </w:pPr>
      <w:r>
        <w:rPr>
          <w:rFonts w:cs="Arial" w:ascii="CG Times" w:hAnsi="CG Times"/>
          <w:b/>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 xml:space="preserve">If the Commission does choose to move beyond the Hub-and-Spoke method, EPSA would recommend the Commission take the logical next step and implement the Limited Competing Supplier Test, FERC Staff’s Option 1.  </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 xml:space="preserve">The Limited Competing Supplier test is a tighter screen than the Hub-and-Spoke method as it limits the size of the total market.  Under the Hub-and-Spoke test, megawatts from directly interconnecting utilities/ISOs are considered able to compete in the market.  The Limited Competing Supplier Test recognizes that transmission constraints limit the megawatts that can compete in a market and only includes megawatts that can be physically delivered to that market.  After establishing the capacity that competes in the market, a market share for the market-based rate applicant is calculated and market-based rate authority is granted based on this market share.   </w:t>
      </w:r>
    </w:p>
    <w:p>
      <w:pPr>
        <w:pStyle w:val="Normal"/>
        <w:numPr>
          <w:ilvl w:val="0"/>
          <w:numId w:val="0"/>
        </w:numPr>
        <w:ind w:firstLine="720" w:start="0" w:end="0"/>
        <w:rPr>
          <w:rFonts w:ascii="CG Times" w:hAnsi="CG Times" w:cs="Arial"/>
        </w:rPr>
      </w:pPr>
      <w:r>
        <w:rPr>
          <w:rFonts w:cs="Arial" w:ascii="CG Times" w:hAnsi="CG Times"/>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 xml:space="preserve">Even with the more narrow market defined by the Limited Competing Supplier Test, the Commission would retain its 20% to 30% benchmark threshold for market share.  That is, the Commission would grant market-based rate authority to an applicant that does not control more than 20% to 30% of the supply that can reach the destination market, given transmission constraints.  </w:t>
      </w:r>
      <w:r>
        <w:rPr>
          <w:rFonts w:cs="CG Times" w:ascii="CG Times" w:hAnsi="CG Times"/>
        </w:rPr>
        <w:t>This threshold is more stringent than the standard recommended by the Department of Justice and others for determining whether a market is sufficiently competitive such that the regulator can rely on markets to establish just and reasonable rates, rather than cost of service regulation.</w:t>
      </w:r>
      <w:r>
        <w:rPr>
          <w:rStyle w:val="FootnoteCharacters"/>
          <w:rStyle w:val="FootnoteReference"/>
          <w:rFonts w:cs="CG Times" w:ascii="CG Times" w:hAnsi="CG Times"/>
        </w:rPr>
        <w:footnoteReference w:id="5"/>
      </w:r>
      <w:r>
        <w:rPr>
          <w:rFonts w:cs="CG Times" w:ascii="CG Times" w:hAnsi="CG Times"/>
        </w:rPr>
        <w:t xml:space="preserve">  </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numPr>
          <w:ilvl w:val="0"/>
          <w:numId w:val="0"/>
        </w:numPr>
        <w:ind w:firstLine="720" w:start="0" w:end="0"/>
        <w:rPr>
          <w:rFonts w:ascii="CG Times" w:hAnsi="CG Times" w:cs="Arial"/>
        </w:rPr>
      </w:pPr>
      <w:r>
        <w:rPr>
          <w:rFonts w:cs="Arial" w:ascii="CG Times" w:hAnsi="CG Times"/>
        </w:rPr>
        <w:t>Application of the Limited Competing Supplier Test should recognize data limitations and the potential for perverse incentives.  The FERC Staff pointed out in its paper that Total Transfer Capability (TTC) from OASIS sites should be used to define transmission constraints.  If TTC is not available from the OASIS site, zero TTC will be assumed.  That is, FERC will assume that no power can be delivered into the market.  EPSA believes that the assumption of zero TTC could provide a perverse incentive for Transmission Owners to not provide TTC on their OASIS sites.  If TTC was not provided on OASIS, the market in a market-based rate test would be smaller and the market share would be higher, thereby limiting competitors from obtaining market-based rate authority.   The proposed assumption of zero TTC when none is available on OASIS could be a barrier to new entrants and market-based rate competitors.  Instead of assuming zero TTC, FERC should compel Transmission Owners to provide the necessary information to calculate TTC.</w:t>
      </w:r>
    </w:p>
    <w:p>
      <w:pPr>
        <w:pStyle w:val="Normal"/>
        <w:numPr>
          <w:ilvl w:val="0"/>
          <w:numId w:val="0"/>
        </w:numPr>
        <w:ind w:firstLine="720" w:start="0" w:end="0"/>
        <w:rPr>
          <w:rFonts w:ascii="CG Times" w:hAnsi="CG Times" w:cs="Arial"/>
        </w:rPr>
      </w:pPr>
      <w:r>
        <w:rPr>
          <w:rFonts w:cs="Arial" w:ascii="CG Times" w:hAnsi="CG Times"/>
        </w:rPr>
      </w:r>
    </w:p>
    <w:p>
      <w:pPr>
        <w:pStyle w:val="BodyTextIndent"/>
        <w:tabs>
          <w:tab w:val="clear" w:pos="0"/>
          <w:tab w:val="left" w:pos="720" w:leader="none"/>
        </w:tabs>
        <w:rPr/>
      </w:pPr>
      <w:r>
        <w:rPr/>
        <w:t>In creating a new market-based rate assessment method, FERC should retain the other aspects of the current method that help accurately assess market power and encourage new entry into the energy markets.  The Commission should maintain its requirement that a market-based rate applicant show it has no transmission market power, can create no barriers to entry, and is not engaging in preferential affiliate transactions or reciprocal dealing.  Finally, the Commission should keep the rebuttable presumption established in Order No. 888 that any new generating plants built after 1996 have no market power.</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rPr>
          <w:rFonts w:ascii="CG Times" w:hAnsi="CG Times" w:cs="CG Times"/>
        </w:rPr>
      </w:pPr>
      <w:r>
        <w:rPr>
          <w:rFonts w:cs="CG Times" w:ascii="CG Times" w:hAnsi="CG Times"/>
        </w:rPr>
        <w:tab/>
        <w:t>EPSA agrees with the movement towards FERC Staff’s Option 5, which suggests that blanket market-based rate authority be granted in approved RTOs.  That is, individual applications for market-based rates would be made only for sales in areas without an approved RTO.  However, the Staff paper is unclear whether this dispensation for suppliers in bid-based RTO markets applies to all transactions in an RTO area, or just to bid transactions in RTO administered markets.  EPSA prefers the former.</w:t>
      </w:r>
    </w:p>
    <w:p>
      <w:pPr>
        <w:pStyle w:val="Normal"/>
        <w:rPr>
          <w:rFonts w:ascii="CG Times" w:hAnsi="CG Times" w:cs="CG Times"/>
        </w:rPr>
      </w:pPr>
      <w:r>
        <w:rPr>
          <w:rFonts w:cs="CG Times" w:ascii="CG Times" w:hAnsi="CG Times"/>
        </w:rPr>
      </w:r>
    </w:p>
    <w:p>
      <w:pPr>
        <w:pStyle w:val="Normal"/>
        <w:ind w:firstLine="720" w:end="0"/>
        <w:rPr/>
      </w:pPr>
      <w:r>
        <w:rPr>
          <w:rFonts w:cs="CG Times" w:ascii="CG Times" w:hAnsi="CG Times"/>
        </w:rPr>
        <w:t xml:space="preserve">To the extent that this dispensation constitutes a Commission finding that no market power exists because the market is appropriately structured and that Section 206(b) protections remain, EPSA can endorse this approach.  However, the Commission should then rely on structural changes to address market power in the future, not on individual RTO mitigation.  Each RTO should have a Market Monitoring Unit (MMU) and its function should be to evaluate the effectiveness of the current market design and anomalous bidding behavior.  An MMU’s primary role should be to serve as an early warning system concerning supply and demand imbalances and rules that are impeding well-functioning markets.  EPSA also believes the MMU should not have enforcement authority – only the ability to monitor, facilitate, and recommend action to the FERC.  If the MMU is given authority to mitigate unilaterally, then the market is under </w:t>
      </w:r>
      <w:r>
        <w:rPr>
          <w:rFonts w:cs="CG Times" w:ascii="CG Times" w:hAnsi="CG Times"/>
          <w:i/>
          <w:iCs/>
        </w:rPr>
        <w:t>de facto</w:t>
      </w:r>
      <w:r>
        <w:rPr>
          <w:rFonts w:cs="CG Times" w:ascii="CG Times" w:hAnsi="CG Times"/>
        </w:rPr>
        <w:t xml:space="preserve"> continuous conditioning authority.  As described below, this is tantamount to killing the competitive market.</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Market monitoring is not a substitute for structuring RTOs properly.  RTOs should be properly structured to ensure reliable, non-discriminatory open-access transmission service for all users of the transmission grid.  This should include a standard market design that includes the following: (a) a well-functioning energy market with both bilateral forward markets and spot markets; (b) an efficient congestion management system that provides incentives for cost-effective investments in transmission and generation needed to alleviate constraints; (c) interconnection procedures that foster the integration and deliverability of generation and merchant transmission; and (d) participation by all users of the transmission system, including service for bundled retail load, under the same rates, terms and conditions of service under the RTO tariff.</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numPr>
          <w:ilvl w:val="0"/>
          <w:numId w:val="0"/>
        </w:numPr>
        <w:tabs>
          <w:tab w:val="left" w:pos="720" w:leader="none"/>
        </w:tabs>
        <w:ind w:firstLine="720" w:start="0" w:end="0"/>
        <w:rPr>
          <w:rFonts w:ascii="CG Times" w:hAnsi="CG Times" w:cs="Arial"/>
        </w:rPr>
      </w:pPr>
      <w:r>
        <w:rPr>
          <w:rFonts w:cs="Arial" w:ascii="CG Times" w:hAnsi="CG Times"/>
        </w:rPr>
        <w:t>EPSA’s response to all five Staff options is provided in the attached appendix.  As this issue is aired in a NOPR or other type of proceeding, other proposed methods will undoubtedly be proposed.  EPSA stands ready to review any other methods as this inquiry evolves.</w:t>
      </w:r>
    </w:p>
    <w:p>
      <w:pPr>
        <w:pStyle w:val="Normal"/>
        <w:numPr>
          <w:ilvl w:val="0"/>
          <w:numId w:val="0"/>
        </w:numPr>
        <w:tabs>
          <w:tab w:val="left" w:pos="72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1080" w:leader="none"/>
        </w:tabs>
        <w:ind w:hanging="0" w:start="0"/>
        <w:rPr>
          <w:rFonts w:ascii="CG Times" w:hAnsi="CG Times" w:cs="Arial"/>
          <w:b/>
        </w:rPr>
      </w:pPr>
      <w:r>
        <w:rPr>
          <w:rFonts w:cs="Arial" w:ascii="CG Times" w:hAnsi="CG Times"/>
          <w:b/>
        </w:rPr>
        <w:t>IMPOSING CONDITIONS ON MARKET-BASED RATE AUTHORITY?</w:t>
      </w:r>
    </w:p>
    <w:p>
      <w:pPr>
        <w:pStyle w:val="Normal"/>
        <w:numPr>
          <w:ilvl w:val="0"/>
          <w:numId w:val="0"/>
        </w:numPr>
        <w:tabs>
          <w:tab w:val="clear" w:pos="720"/>
          <w:tab w:val="left" w:pos="1080" w:leader="none"/>
        </w:tabs>
        <w:ind w:hanging="0" w:start="0"/>
        <w:rPr>
          <w:rFonts w:ascii="CG Times" w:hAnsi="CG Times" w:cs="Arial"/>
          <w:b/>
        </w:rPr>
      </w:pPr>
      <w:r>
        <w:rPr>
          <w:rFonts w:cs="Arial" w:ascii="CG Times" w:hAnsi="CG Times"/>
          <w:b/>
        </w:rPr>
      </w:r>
    </w:p>
    <w:p>
      <w:pPr>
        <w:pStyle w:val="BodyTextIndent"/>
        <w:tabs>
          <w:tab w:val="clear" w:pos="0"/>
          <w:tab w:val="left" w:pos="720" w:leader="none"/>
        </w:tabs>
        <w:rPr/>
      </w:pPr>
      <w:r>
        <w:rPr/>
        <w:t>Some have suggested that the Commission add new conditions to market-based rate authority.  This would be disastrous.  An expansion of the conditions of market-based rate authority, especially if conditions are vague and undefined, would have serious consequences for the industry. A blanket refund authority would drastically increase the perceived risk level of energy companies in the minds of the investment and lending communities; it also raises serious legal issues under the Federal Power Act.  This lack of regulatory stability would limit competitive suppliers’ ability to finance power projects and trading operations because there would be a pronounced shift to short-term transactions, with the resulting increase in risk premiums.  Considerable capital investment has been placed in the energy markets with the expectation of receiving market-based prices; the possibility of conditionality transforms the investment climate and puts existing investments at risk.  Conditioning market-based rate authority would also reduce the number of competitors and new entrants into the market, which runs counter to the Commission’s goals.</w:t>
      </w:r>
    </w:p>
    <w:p>
      <w:pPr>
        <w:pStyle w:val="Normal"/>
        <w:numPr>
          <w:ilvl w:val="0"/>
          <w:numId w:val="0"/>
        </w:numPr>
        <w:tabs>
          <w:tab w:val="clear" w:pos="720"/>
          <w:tab w:val="left" w:pos="1440" w:leader="none"/>
        </w:tabs>
        <w:ind w:firstLine="720" w:start="0" w:end="0"/>
        <w:rPr>
          <w:rFonts w:ascii="CG Times" w:hAnsi="CG Times" w:cs="Arial"/>
        </w:rPr>
      </w:pPr>
      <w:r>
        <w:rPr>
          <w:rFonts w:cs="Arial" w:ascii="CG Times" w:hAnsi="CG Times"/>
        </w:rPr>
      </w:r>
    </w:p>
    <w:p>
      <w:pPr>
        <w:pStyle w:val="Normal"/>
        <w:numPr>
          <w:ilvl w:val="0"/>
          <w:numId w:val="0"/>
        </w:numPr>
        <w:tabs>
          <w:tab w:val="clear" w:pos="720"/>
          <w:tab w:val="left" w:pos="1440" w:leader="none"/>
        </w:tabs>
        <w:ind w:firstLine="720" w:start="0" w:end="0"/>
        <w:rPr/>
      </w:pPr>
      <w:r>
        <w:rPr>
          <w:rFonts w:cs="CG Times" w:ascii="CG Times" w:hAnsi="CG Times"/>
        </w:rPr>
        <w:t>The Commission should assure competitive power suppliers and the investment community that the Commission will not retroactively revise rates charged under FERC-approved market-based rate authority, absent the specific requirements of Section 206 of the Federal Power Act.  If a supplier receives market-based rate authority, it has the right to the protections afforded in Section 206(b) of the Federal Power Act.  As a result of the passage in 1988 of the Regulatory Fairness Act, the Commission has the authority to order refunds as result of a Section 206 investigation, with certain limitations.</w:t>
      </w:r>
      <w:r>
        <w:rPr>
          <w:rStyle w:val="FootnoteCharacters"/>
          <w:rStyle w:val="FootnoteReference"/>
          <w:rFonts w:cs="CG Times" w:ascii="CG Times" w:hAnsi="CG Times"/>
        </w:rPr>
        <w:footnoteReference w:id="6"/>
      </w:r>
      <w:r>
        <w:rPr>
          <w:rFonts w:cs="CG Times" w:ascii="CG Times" w:hAnsi="CG Times"/>
        </w:rPr>
        <w:t xml:space="preserve">  Those limitations include</w:t>
      </w:r>
      <w:r>
        <w:rPr>
          <w:rStyle w:val="FootnoteCharacters"/>
          <w:rStyle w:val="FootnoteReference"/>
          <w:rFonts w:cs="CG Times" w:ascii="CG Times" w:hAnsi="CG Times"/>
        </w:rPr>
        <w:footnoteReference w:id="7"/>
      </w:r>
      <w:r>
        <w:rPr>
          <w:rFonts w:cs="CG Times" w:ascii="CG Times" w:hAnsi="CG Times"/>
        </w:rPr>
        <w:t xml:space="preserve">: </w:t>
      </w:r>
    </w:p>
    <w:p>
      <w:pPr>
        <w:pStyle w:val="Normal"/>
        <w:numPr>
          <w:ilvl w:val="0"/>
          <w:numId w:val="0"/>
        </w:numPr>
        <w:tabs>
          <w:tab w:val="clear" w:pos="720"/>
          <w:tab w:val="left" w:pos="1440" w:leader="none"/>
        </w:tabs>
        <w:ind w:firstLine="720" w:start="0" w:end="0"/>
        <w:rPr>
          <w:rFonts w:ascii="CG Times" w:hAnsi="CG Times" w:cs="CG Times"/>
        </w:rPr>
      </w:pPr>
      <w:r>
        <w:rPr>
          <w:rFonts w:cs="CG Times" w:ascii="CG Times" w:hAnsi="CG Times"/>
        </w:rPr>
      </w:r>
    </w:p>
    <w:p>
      <w:pPr>
        <w:pStyle w:val="Normal"/>
        <w:numPr>
          <w:ilvl w:val="0"/>
          <w:numId w:val="2"/>
        </w:numPr>
        <w:tabs>
          <w:tab w:val="clear" w:pos="720"/>
          <w:tab w:val="left" w:pos="1440" w:leader="none"/>
        </w:tabs>
        <w:rPr>
          <w:rFonts w:ascii="CG Times" w:hAnsi="CG Times" w:cs="CG Times"/>
        </w:rPr>
      </w:pPr>
      <w:r>
        <w:rPr>
          <w:rFonts w:cs="CG Times" w:ascii="CG Times" w:hAnsi="CG Times"/>
        </w:rPr>
        <w:t>The burden of proof for refunds rests with the Commission or complainant.</w:t>
      </w:r>
    </w:p>
    <w:p>
      <w:pPr>
        <w:pStyle w:val="Normal"/>
        <w:numPr>
          <w:ilvl w:val="0"/>
          <w:numId w:val="2"/>
        </w:numPr>
        <w:tabs>
          <w:tab w:val="clear" w:pos="720"/>
          <w:tab w:val="left" w:pos="1440" w:leader="none"/>
        </w:tabs>
        <w:rPr>
          <w:rFonts w:ascii="CG Times" w:hAnsi="CG Times" w:cs="CG Times"/>
        </w:rPr>
      </w:pPr>
      <w:r>
        <w:rPr>
          <w:rFonts w:cs="CG Times" w:ascii="CG Times" w:hAnsi="CG Times"/>
        </w:rPr>
        <w:t>The Commission may only order refunds for a period to begin no earlier than 60 days after the filing of a complaint or, in the case of a Commission proceeding initiated on its own motion, 60 days after the publication of that proceeding in the Federal Register.</w:t>
      </w:r>
    </w:p>
    <w:p>
      <w:pPr>
        <w:pStyle w:val="Normal"/>
        <w:numPr>
          <w:ilvl w:val="0"/>
          <w:numId w:val="2"/>
        </w:numPr>
        <w:tabs>
          <w:tab w:val="clear" w:pos="720"/>
          <w:tab w:val="left" w:pos="1440" w:leader="none"/>
        </w:tabs>
        <w:rPr>
          <w:rFonts w:ascii="CG Times" w:hAnsi="CG Times" w:cs="CG Times"/>
        </w:rPr>
      </w:pPr>
      <w:r>
        <w:rPr>
          <w:rFonts w:cs="CG Times" w:ascii="CG Times" w:hAnsi="CG Times"/>
        </w:rPr>
        <w:t>The Commission may order refunds for a period of only 15 months after the refund effective date.</w:t>
      </w:r>
    </w:p>
    <w:p>
      <w:pPr>
        <w:pStyle w:val="BodySingle"/>
        <w:ind w:firstLine="720" w:end="0"/>
        <w:rPr>
          <w:rFonts w:ascii="CG Times" w:hAnsi="CG Times" w:cs="CG Times"/>
        </w:rPr>
      </w:pPr>
      <w:r>
        <w:rPr>
          <w:rFonts w:cs="CG Times" w:ascii="CG Times" w:hAnsi="CG Times"/>
        </w:rPr>
        <w:t xml:space="preserve">To avoid these limitations, the Commission seeks to use its authority to condition market-based rates on compliance with various standards.  The Commission appears to be of the view that if it should later find a violation of those standards, then it could use its general authority under Section 309 of the Federal Power Act to retroactively order refunds back to the date of the violation.  </w:t>
      </w:r>
    </w:p>
    <w:p>
      <w:pPr>
        <w:pStyle w:val="Normal"/>
        <w:rPr>
          <w:rFonts w:ascii="CG Times" w:hAnsi="CG Times" w:cs="CG Times"/>
        </w:rPr>
      </w:pPr>
      <w:r>
        <w:rPr>
          <w:rFonts w:cs="CG Times" w:ascii="CG Times" w:hAnsi="CG Times"/>
        </w:rPr>
      </w:r>
    </w:p>
    <w:p>
      <w:pPr>
        <w:pStyle w:val="Normal"/>
        <w:ind w:firstLine="720" w:end="0"/>
        <w:rPr/>
      </w:pPr>
      <w:r>
        <w:rPr>
          <w:rFonts w:cs="CG Times" w:ascii="CG Times" w:hAnsi="CG Times"/>
        </w:rPr>
        <w:t>EPSA will not address here valid arguments that the Commission does not have a reasoned basis for adoption of such conditions at this time or that the conditions themselves may lack a reasoned basis because they lack sufficient clarity to inform a market participant of the prohibited behavior.  Rather our paramount concern is that the adoption of vague and ill-defined standards (</w:t>
      </w:r>
      <w:r>
        <w:rPr>
          <w:rFonts w:cs="CG Times" w:ascii="CG Times" w:hAnsi="CG Times"/>
          <w:i/>
        </w:rPr>
        <w:t>e.g.</w:t>
      </w:r>
      <w:r>
        <w:rPr>
          <w:rFonts w:cs="CG Times" w:ascii="CG Times" w:hAnsi="CG Times"/>
        </w:rPr>
        <w:t xml:space="preserve"> that the rates charged were the product of a dysfunctional market, a market design flaw, or economic withholding) with a subsequently declared violation being used to issue retroactive refunds, eviscerates the limitations that Congress imposed on the Commission’s refund authority under Section 206(b) and creates serious regulatory uncertainty.  By adopting such vague conditions, and then retroactively revising rates based on a finding that those conditions were violated, the Commission would, implicitly, be adopting, through its conditioning authority, a continuing refund effective date.  This practice would create constant havoc with market-derived prices.  However, court precedent makes clear that the Commission cannot use its conditioning authority to circumvent other provisions of the Federal Power Act, which clearly limit the Commission’s refund authority.</w:t>
      </w:r>
      <w:r>
        <w:rPr>
          <w:rStyle w:val="FootnoteCharacters"/>
          <w:rStyle w:val="FootnoteReference"/>
          <w:rFonts w:cs="CG Times" w:ascii="CG Times" w:hAnsi="CG Times"/>
        </w:rPr>
        <w:footnoteReference w:id="8"/>
      </w:r>
      <w:r>
        <w:rPr>
          <w:rFonts w:cs="CG Times" w:ascii="CG Times" w:hAnsi="CG Times"/>
        </w:rPr>
        <w:t xml:space="preserve">  Rather each of the provisions of the Federal Power Act must be read in concert with each other.  Thus, the Commission cannot condition rates in a manner that would read out of the statute the specific provisions Congress included in Section 206(b).       </w:t>
      </w:r>
    </w:p>
    <w:p>
      <w:pPr>
        <w:pStyle w:val="BodyTextStyle"/>
        <w:spacing w:lineRule="auto" w:line="240"/>
        <w:ind w:hanging="0" w:end="0"/>
        <w:rPr>
          <w:rFonts w:ascii="CG Times" w:hAnsi="CG Times" w:cs="CG Times"/>
        </w:rPr>
      </w:pPr>
      <w:r>
        <w:rPr>
          <w:rFonts w:cs="CG Times" w:ascii="CG Times" w:hAnsi="CG Times"/>
        </w:rPr>
      </w:r>
    </w:p>
    <w:p>
      <w:pPr>
        <w:pStyle w:val="Normal"/>
        <w:ind w:firstLine="720" w:end="0"/>
        <w:rPr/>
      </w:pPr>
      <w:r>
        <w:rPr>
          <w:rFonts w:cs="CG Times" w:ascii="CG Times" w:hAnsi="CG Times"/>
        </w:rPr>
        <w:t>Moreover, with respect to limitations on FERC’s authority, courts have been clear:  the Commission cannot do indirectly what it may not do directly.  The Commission, for example, may not seek to influence intrastate rates, because Congress expressly reserved the power to regulate such rates to the states.</w:t>
      </w:r>
      <w:r>
        <w:rPr>
          <w:rStyle w:val="FootnoteCharacters"/>
          <w:rStyle w:val="FootnoteReference"/>
          <w:rFonts w:cs="CG Times" w:ascii="CG Times" w:hAnsi="CG Times"/>
        </w:rPr>
        <w:footnoteReference w:id="9"/>
      </w:r>
      <w:r>
        <w:rPr>
          <w:rFonts w:cs="CG Times" w:ascii="CG Times" w:hAnsi="CG Times"/>
        </w:rPr>
        <w:t xml:space="preserve">  Likewise, the Commission may not exceed the bounds of its own enabling statute by using its general conditioning authority to circumvent specific limitations on its ratemaking authority.</w:t>
      </w:r>
      <w:r>
        <w:rPr>
          <w:rStyle w:val="FootnoteCharacters"/>
          <w:rStyle w:val="FootnoteReference"/>
          <w:rFonts w:cs="CG Times" w:ascii="CG Times" w:hAnsi="CG Times"/>
        </w:rPr>
        <w:footnoteReference w:id="10"/>
      </w:r>
      <w:r>
        <w:rPr>
          <w:rFonts w:cs="CG Times" w:ascii="CG Times" w:hAnsi="CG Times"/>
        </w:rPr>
        <w:t xml:space="preserve">  </w:t>
      </w:r>
    </w:p>
    <w:p>
      <w:pPr>
        <w:pStyle w:val="Normal"/>
        <w:rPr>
          <w:rFonts w:ascii="CG Times" w:hAnsi="CG Times" w:cs="CG Times"/>
        </w:rPr>
      </w:pPr>
      <w:r>
        <w:rPr>
          <w:rFonts w:cs="CG Times" w:ascii="CG Times" w:hAnsi="CG Times"/>
        </w:rPr>
      </w:r>
    </w:p>
    <w:p>
      <w:pPr>
        <w:pStyle w:val="Normal"/>
        <w:ind w:firstLine="720" w:end="0"/>
        <w:rPr>
          <w:rFonts w:ascii="CG Times" w:hAnsi="CG Times" w:cs="CG Times"/>
        </w:rPr>
      </w:pPr>
      <w:r>
        <w:rPr>
          <w:rFonts w:cs="CG Times" w:ascii="CG Times" w:hAnsi="CG Times"/>
        </w:rPr>
        <w:t xml:space="preserve">This general principle is equally applicable to the Commission’s current proposal.  By conditioning market-based rate authority on vague and ill-defined standards the Commission seeks the ability to retroactively order refunds if the Commission makes the subsequent determination that those conditions were violated.  In effect, the Commission is creating a continuing refund effective date, to retroactively revise rates should the Commission find that the market outcomes were not consistent with its view of prices in a competitive market.  The proposal, however, directly contravenes the procedures set forth in Section 206, which specifically describe when a refund date may be set.  As such, the proposal exceeds the Commission’s authority and is unlawful.                 </w:t>
      </w:r>
    </w:p>
    <w:p>
      <w:pPr>
        <w:pStyle w:val="Normal"/>
        <w:rPr>
          <w:rFonts w:ascii="CG Times" w:hAnsi="CG Times" w:cs="CG Times"/>
          <w:b/>
          <w:bCs/>
        </w:rPr>
      </w:pPr>
      <w:r>
        <w:rPr>
          <w:rFonts w:cs="CG Times" w:ascii="CG Times" w:hAnsi="CG Times"/>
          <w:b/>
          <w:bCs/>
        </w:rPr>
      </w:r>
    </w:p>
    <w:p>
      <w:pPr>
        <w:pStyle w:val="Header"/>
        <w:tabs>
          <w:tab w:val="clear" w:pos="4320"/>
          <w:tab w:val="clear" w:pos="8640"/>
        </w:tabs>
        <w:rPr>
          <w:rFonts w:ascii="CG Times" w:hAnsi="CG Times" w:cs="CG Times"/>
          <w:b/>
          <w:bCs/>
        </w:rPr>
      </w:pPr>
      <w:r>
        <w:rPr>
          <w:rFonts w:cs="CG Times" w:ascii="CG Times" w:hAnsi="CG Times"/>
          <w:b/>
          <w:bCs/>
        </w:rPr>
      </w:r>
    </w:p>
    <w:p>
      <w:pPr>
        <w:pStyle w:val="Header"/>
        <w:tabs>
          <w:tab w:val="clear" w:pos="4320"/>
          <w:tab w:val="clear" w:pos="8640"/>
        </w:tabs>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Arial"/>
        </w:rPr>
      </w:pPr>
      <w:r>
        <w:rPr>
          <w:rFonts w:cs="Arial" w:ascii="CG Times" w:hAnsi="CG Times"/>
        </w:rPr>
      </w:r>
      <w:r>
        <w:br w:type="page"/>
      </w:r>
    </w:p>
    <w:p>
      <w:pPr>
        <w:pStyle w:val="Normal"/>
        <w:jc w:val="center"/>
        <w:rPr>
          <w:rFonts w:ascii="CG Times" w:hAnsi="CG Times" w:cs="CG Times"/>
          <w:b/>
          <w:bCs/>
          <w:szCs w:val="23"/>
        </w:rPr>
      </w:pPr>
      <w:r>
        <w:rPr>
          <w:rFonts w:cs="CG Times" w:ascii="CG Times" w:hAnsi="CG Times"/>
          <w:b/>
          <w:bCs/>
          <w:szCs w:val="23"/>
        </w:rPr>
        <w:t>APPENDIX A</w:t>
      </w:r>
    </w:p>
    <w:p>
      <w:pPr>
        <w:pStyle w:val="Normal"/>
        <w:rPr>
          <w:rFonts w:ascii="CG Times" w:hAnsi="CG Times" w:cs="CG Times"/>
          <w:b/>
          <w:bCs/>
          <w:szCs w:val="23"/>
        </w:rPr>
      </w:pPr>
      <w:r>
        <w:rPr>
          <w:rFonts w:cs="CG Times" w:ascii="CG Times" w:hAnsi="CG Times"/>
          <w:b/>
          <w:bCs/>
          <w:szCs w:val="23"/>
        </w:rPr>
      </w:r>
    </w:p>
    <w:p>
      <w:pPr>
        <w:pStyle w:val="Heading3"/>
        <w:rPr>
          <w:rFonts w:ascii="CG Times" w:hAnsi="CG Times" w:cs="CG Times"/>
        </w:rPr>
      </w:pPr>
      <w:r>
        <w:rPr>
          <w:rFonts w:cs="CG Times" w:ascii="CG Times" w:hAnsi="CG Times"/>
        </w:rPr>
        <w:t>FERC STAFF’S MARKET-BASED RATE ASSESSMENT OPTIONS</w:t>
      </w:r>
    </w:p>
    <w:p>
      <w:pPr>
        <w:pStyle w:val="Normal"/>
        <w:rPr>
          <w:rFonts w:ascii="CG Times" w:hAnsi="CG Times" w:cs="CG Times"/>
          <w:szCs w:val="23"/>
        </w:rPr>
      </w:pPr>
      <w:r>
        <w:rPr>
          <w:rFonts w:cs="CG Times" w:ascii="CG Times" w:hAnsi="CG Times"/>
          <w:szCs w:val="23"/>
        </w:rPr>
      </w:r>
    </w:p>
    <w:p>
      <w:pPr>
        <w:pStyle w:val="Normal"/>
        <w:ind w:firstLine="720" w:end="0"/>
        <w:rPr>
          <w:rFonts w:ascii="CG Times" w:hAnsi="CG Times" w:cs="CG Times"/>
          <w:szCs w:val="23"/>
        </w:rPr>
      </w:pPr>
      <w:r>
        <w:rPr>
          <w:rFonts w:cs="CG Times" w:ascii="CG Times" w:hAnsi="CG Times"/>
          <w:szCs w:val="23"/>
        </w:rPr>
        <w:t>The Commission Staff’s market-based rate options paper presented five options for analyzing generation market power for new market-based rate applications.  EPSA would like to take this opportunity to provide specific feedback on each of the options proposed by the FERC Staff.</w:t>
      </w:r>
    </w:p>
    <w:p>
      <w:pPr>
        <w:pStyle w:val="Heading1"/>
        <w:numPr>
          <w:ilvl w:val="0"/>
          <w:numId w:val="0"/>
        </w:numPr>
        <w:ind w:hanging="0" w:start="360" w:end="0"/>
        <w:rPr>
          <w:rFonts w:ascii="CG Times" w:hAnsi="CG Times" w:cs="CG Times"/>
          <w:b w:val="false"/>
          <w:szCs w:val="23"/>
        </w:rPr>
      </w:pPr>
      <w:r>
        <w:rPr>
          <w:rFonts w:cs="CG Times" w:ascii="CG Times" w:hAnsi="CG Times"/>
          <w:b w:val="false"/>
          <w:szCs w:val="23"/>
        </w:rPr>
      </w:r>
    </w:p>
    <w:p>
      <w:pPr>
        <w:pStyle w:val="Heading1"/>
        <w:numPr>
          <w:ilvl w:val="0"/>
          <w:numId w:val="0"/>
        </w:numPr>
        <w:ind w:hanging="0" w:start="0"/>
        <w:rPr>
          <w:rFonts w:ascii="CG Times" w:hAnsi="CG Times" w:cs="CG Times"/>
          <w:szCs w:val="23"/>
        </w:rPr>
      </w:pPr>
      <w:r>
        <w:rPr>
          <w:rFonts w:cs="CG Times" w:ascii="CG Times" w:hAnsi="CG Times"/>
          <w:szCs w:val="23"/>
        </w:rPr>
        <w:t>OPTION 1:  LIMITED COMPETING SUPPLIER TEST</w:t>
      </w:r>
    </w:p>
    <w:p>
      <w:pPr>
        <w:pStyle w:val="Normal"/>
        <w:rPr>
          <w:rFonts w:ascii="CG Times" w:hAnsi="CG Times" w:cs="CG Times"/>
          <w:b/>
          <w:bCs/>
          <w:szCs w:val="23"/>
        </w:rPr>
      </w:pPr>
      <w:r>
        <w:rPr>
          <w:rFonts w:cs="CG Times" w:ascii="CG Times" w:hAnsi="CG Times"/>
          <w:b/>
          <w:bCs/>
          <w:szCs w:val="23"/>
        </w:rPr>
      </w:r>
    </w:p>
    <w:p>
      <w:pPr>
        <w:pStyle w:val="Normal"/>
        <w:rPr/>
      </w:pPr>
      <w:r>
        <w:rPr>
          <w:rFonts w:cs="CG Times" w:ascii="CG Times" w:hAnsi="CG Times"/>
          <w:b/>
          <w:bCs/>
          <w:szCs w:val="23"/>
        </w:rPr>
        <w:tab/>
      </w:r>
      <w:r>
        <w:rPr>
          <w:rFonts w:cs="CG Times" w:ascii="CG Times" w:hAnsi="CG Times"/>
          <w:szCs w:val="23"/>
        </w:rPr>
        <w:t xml:space="preserve">The Limited Competing Supplier Test tailors the existing Hub-and-Spoke approach to market-based rate applications by considering the impact of transmission constraints.  Where the Hub-and-Spoke method assumes that every megawatt produced makes it to the market, under the Limited Competing Supplier Test only megawatts that can be physically delivered to the market are included in the test.  If FERC decides to change the test for market-based rate authority, EPSA would support moving to the Limited Competing Supplier Test.  EPSA recognizes that transmission constraints can limit the amount of competing capacity in a market and therefore believes this option presents a positive addition to the market-based rate assessment.  </w:t>
      </w:r>
    </w:p>
    <w:p>
      <w:pPr>
        <w:pStyle w:val="Normal"/>
        <w:rPr>
          <w:rFonts w:ascii="CG Times" w:hAnsi="CG Times" w:cs="CG Times"/>
          <w:szCs w:val="23"/>
        </w:rPr>
      </w:pPr>
      <w:r>
        <w:rPr>
          <w:rFonts w:cs="CG Times" w:ascii="CG Times" w:hAnsi="CG Times"/>
          <w:szCs w:val="23"/>
        </w:rPr>
      </w:r>
    </w:p>
    <w:p>
      <w:pPr>
        <w:pStyle w:val="Normal"/>
        <w:rPr>
          <w:rFonts w:ascii="CG Times" w:hAnsi="CG Times" w:cs="CG Times"/>
          <w:b/>
          <w:bCs/>
          <w:szCs w:val="23"/>
        </w:rPr>
      </w:pPr>
      <w:r>
        <w:rPr>
          <w:rFonts w:cs="CG Times" w:ascii="CG Times" w:hAnsi="CG Times"/>
          <w:b/>
          <w:bCs/>
          <w:szCs w:val="23"/>
        </w:rPr>
        <w:t>OPTION 2:  SUPPLY MARGIN ASSESSMENT</w:t>
      </w:r>
    </w:p>
    <w:p>
      <w:pPr>
        <w:pStyle w:val="Normal"/>
        <w:rPr>
          <w:rFonts w:ascii="CG Times" w:hAnsi="CG Times" w:cs="CG Times"/>
          <w:b/>
          <w:bCs/>
          <w:szCs w:val="23"/>
        </w:rPr>
      </w:pPr>
      <w:r>
        <w:rPr>
          <w:rFonts w:cs="CG Times" w:ascii="CG Times" w:hAnsi="CG Times"/>
          <w:b/>
          <w:bCs/>
          <w:szCs w:val="23"/>
        </w:rPr>
      </w:r>
    </w:p>
    <w:p>
      <w:pPr>
        <w:pStyle w:val="Normal"/>
        <w:rPr/>
      </w:pPr>
      <w:r>
        <w:rPr>
          <w:rFonts w:cs="CG Times" w:ascii="CG Times" w:hAnsi="CG Times"/>
          <w:b/>
          <w:bCs/>
          <w:szCs w:val="23"/>
        </w:rPr>
        <w:tab/>
      </w:r>
      <w:r>
        <w:rPr>
          <w:rFonts w:cs="CG Times" w:ascii="CG Times" w:hAnsi="CG Times"/>
          <w:szCs w:val="23"/>
        </w:rPr>
        <w:t xml:space="preserve">Supply Margin Assessment (SMA) proposes to measure market power based on the difference between available supply and peak demand.  </w:t>
      </w:r>
      <w:r>
        <w:rPr>
          <w:rFonts w:cs="CG Times" w:ascii="CG Times" w:hAnsi="CG Times"/>
        </w:rPr>
        <w:t>Our understanding is that a supplier would be granted market-based rate authority if that supplier’s capacity does not exceed the area reserve margin at peak.  For example, assume a market area has a peak demand of 800 MW and ten suppliers each with 100 MW compete in that market.  The reserve margin in this market is 200 MW (1,000 MW total supply vs. 800 MW peak demand), so all ten of the suppliers would be granted market-based rates.  The SMA discussion does not speak to the situation whereby some portion of the supplier’s capacity has already been committed to the market for a period greater than one year.  Presumably, this percentage is netted out of the calculation.</w:t>
      </w:r>
    </w:p>
    <w:p>
      <w:pPr>
        <w:pStyle w:val="Normal"/>
        <w:rPr>
          <w:rFonts w:ascii="CG Times" w:hAnsi="CG Times" w:cs="CG Times"/>
        </w:rPr>
      </w:pPr>
      <w:r>
        <w:rPr>
          <w:rFonts w:cs="CG Times" w:ascii="CG Times" w:hAnsi="CG Times"/>
        </w:rPr>
      </w:r>
    </w:p>
    <w:p>
      <w:pPr>
        <w:pStyle w:val="Normal"/>
        <w:ind w:firstLine="720" w:end="0"/>
        <w:rPr>
          <w:rFonts w:ascii="CG Times" w:hAnsi="CG Times" w:cs="CG Times"/>
        </w:rPr>
      </w:pPr>
      <w:r>
        <w:rPr>
          <w:rFonts w:cs="CG Times" w:ascii="CG Times" w:hAnsi="CG Times"/>
        </w:rPr>
        <w:t>EPSA has serious concerns with the SMA method because it confuses capacity shortages with market power and, thereby, leads to perverse incentives.  Allow us to continue the example above with one change – peak load is assumed to grow to 925 MW.  With the SMA, market-based rate authority would be withdrawn for all suppliers since the reserve margin has fallen to 75 MW and all suppliers have capacity greater than that.  Since nothing has changed in terms of the number and size of competitors, the SMA leads to different conclusions based on changes in market demand, not market power.  That is, the SMA confuses the possible price effect of a shortage with that of the abuse of market power.</w:t>
      </w:r>
    </w:p>
    <w:p>
      <w:pPr>
        <w:pStyle w:val="Normal"/>
        <w:ind w:firstLine="720" w:end="0"/>
        <w:rPr>
          <w:rFonts w:ascii="CG Times" w:hAnsi="CG Times" w:cs="CG Times"/>
        </w:rPr>
      </w:pPr>
      <w:r>
        <w:rPr>
          <w:rFonts w:cs="CG Times" w:ascii="CG Times" w:hAnsi="CG Times"/>
        </w:rPr>
      </w:r>
    </w:p>
    <w:p>
      <w:pPr>
        <w:pStyle w:val="Normal"/>
        <w:ind w:firstLine="720" w:end="0"/>
        <w:rPr>
          <w:rFonts w:ascii="CG Times" w:hAnsi="CG Times" w:cs="CG Times"/>
        </w:rPr>
      </w:pPr>
      <w:r>
        <w:rPr>
          <w:rFonts w:cs="CG Times" w:ascii="CG Times" w:hAnsi="CG Times"/>
        </w:rPr>
        <w:t xml:space="preserve">The simplified measure of market power inherent in the SMA ignores the competitive restrictions under which suppliers must operate.  The SMA assumes that if a supplier's owned (or controlled) megawatts are more than the reserve margin, they could withhold generation and exercise market power.  However, this assumption ignores the fact that a supplier must be profitable, regardless of their bidding strategy; that is, even a supplier who might be withholding must be profitable.  If a supplier has to withhold 90% of its generation to move the price, it is unlikely to be profitable at that level.  In other words, the SMA ignores the limitations on a supplier to exert market power – namely the need to be profitable.  </w:t>
      </w:r>
    </w:p>
    <w:p>
      <w:pPr>
        <w:pStyle w:val="Normal"/>
        <w:ind w:firstLine="720" w:end="0"/>
        <w:rPr>
          <w:rFonts w:ascii="CG Times" w:hAnsi="CG Times" w:cs="CG Times"/>
        </w:rPr>
      </w:pPr>
      <w:r>
        <w:rPr>
          <w:rFonts w:cs="CG Times" w:ascii="CG Times" w:hAnsi="CG Times"/>
        </w:rPr>
      </w:r>
    </w:p>
    <w:p>
      <w:pPr>
        <w:pStyle w:val="Normal"/>
        <w:ind w:firstLine="720" w:end="0"/>
        <w:rPr>
          <w:rFonts w:ascii="CG Times" w:hAnsi="CG Times" w:cs="CG Times"/>
        </w:rPr>
      </w:pPr>
      <w:r>
        <w:rPr>
          <w:rFonts w:cs="CG Times" w:ascii="CG Times" w:hAnsi="CG Times"/>
        </w:rPr>
        <w:t>Moreover, the SMA leads to perverse incentives since it artificially lowers prices at the exact time higher prices are needed to attract new entry.  Denying market-based rates in this inappropriate manner will serve as a disincentive to new power plant investment that would both alleviate the shortage and increase competition.  Granting market-based rates on the other hand serves to encourage new investment at the risk of the capacity owners, thereby reducing risk for consumers while putting downward pressure on prices.</w:t>
      </w:r>
    </w:p>
    <w:p>
      <w:pPr>
        <w:pStyle w:val="Normal"/>
        <w:rPr>
          <w:rFonts w:ascii="CG Times" w:hAnsi="CG Times" w:cs="CG Times"/>
          <w:szCs w:val="23"/>
        </w:rPr>
      </w:pPr>
      <w:r>
        <w:rPr>
          <w:rFonts w:cs="CG Times" w:ascii="CG Times" w:hAnsi="CG Times"/>
          <w:szCs w:val="23"/>
        </w:rPr>
      </w:r>
    </w:p>
    <w:p>
      <w:pPr>
        <w:pStyle w:val="Normal"/>
        <w:rPr>
          <w:rFonts w:ascii="CG Times" w:hAnsi="CG Times" w:cs="CG Times"/>
          <w:szCs w:val="23"/>
        </w:rPr>
      </w:pPr>
      <w:r>
        <w:rPr>
          <w:rFonts w:cs="CG Times" w:ascii="CG Times" w:hAnsi="CG Times"/>
          <w:szCs w:val="23"/>
        </w:rPr>
        <w:tab/>
        <w:t xml:space="preserve">Additionally, the SMA method does not focus on finding the existence of market power for a sustained period of time.  By focusing on peak demand, the SMA focuses on a time period that is, by definition, transitory.  It would appear from the Staff paper that the SMA would grant or deny market-based rate authority for all hours based on a measure of market power during just a few hours of peak demand. </w:t>
      </w:r>
    </w:p>
    <w:p>
      <w:pPr>
        <w:pStyle w:val="Normal"/>
        <w:rPr>
          <w:rFonts w:ascii="CG Times" w:hAnsi="CG Times" w:cs="CG Times"/>
          <w:szCs w:val="23"/>
        </w:rPr>
      </w:pPr>
      <w:r>
        <w:rPr>
          <w:rFonts w:cs="CG Times" w:ascii="CG Times" w:hAnsi="CG Times"/>
          <w:szCs w:val="23"/>
        </w:rPr>
        <w:tab/>
      </w:r>
    </w:p>
    <w:p>
      <w:pPr>
        <w:pStyle w:val="Normal"/>
        <w:rPr>
          <w:rFonts w:ascii="CG Times" w:hAnsi="CG Times" w:cs="CG Times"/>
          <w:szCs w:val="23"/>
        </w:rPr>
      </w:pPr>
      <w:r>
        <w:rPr>
          <w:rFonts w:cs="CG Times" w:ascii="CG Times" w:hAnsi="CG Times"/>
          <w:szCs w:val="23"/>
        </w:rPr>
        <w:tab/>
        <w:t xml:space="preserve">EPSA does not believe that the SMA is the right test for market-based rate authority, but if FERC wants to use a measure that introduces demand-side information in a market-based rates test, other measures could do so without encountering the problems of SMA.  For instance, load share could be calculated as a supplier’s owned (or controlled) MWs as a percentage of peak load.  Similar to the market share measure under the Hub-and-Spoke test, a load share below a benchmark amount would be granted market-based rate authority.  As peak load rises, a supplier could own more generation.  A load share percentage or other possible tests could incorporate the demand-side information, without causing the perverse results of the SMA.  </w:t>
      </w:r>
    </w:p>
    <w:p>
      <w:pPr>
        <w:pStyle w:val="Normal"/>
        <w:rPr>
          <w:rFonts w:ascii="CG Times" w:hAnsi="CG Times" w:cs="CG Times"/>
          <w:b/>
          <w:bCs/>
          <w:szCs w:val="23"/>
        </w:rPr>
      </w:pPr>
      <w:r>
        <w:rPr>
          <w:rFonts w:cs="CG Times" w:ascii="CG Times" w:hAnsi="CG Times"/>
          <w:b/>
          <w:bCs/>
          <w:szCs w:val="23"/>
        </w:rPr>
      </w:r>
    </w:p>
    <w:p>
      <w:pPr>
        <w:pStyle w:val="Normal"/>
        <w:rPr>
          <w:rFonts w:ascii="CG Times" w:hAnsi="CG Times" w:cs="CG Times"/>
          <w:b/>
          <w:bCs/>
          <w:szCs w:val="23"/>
        </w:rPr>
      </w:pPr>
      <w:r>
        <w:rPr>
          <w:rFonts w:cs="CG Times" w:ascii="CG Times" w:hAnsi="CG Times"/>
          <w:b/>
          <w:bCs/>
          <w:szCs w:val="23"/>
        </w:rPr>
        <w:t>OPTION 3:  DELIVERED PRICE TEST</w:t>
      </w:r>
    </w:p>
    <w:p>
      <w:pPr>
        <w:pStyle w:val="Normal"/>
        <w:rPr>
          <w:rFonts w:ascii="CG Times" w:hAnsi="CG Times" w:cs="CG Times"/>
          <w:b/>
          <w:bCs/>
          <w:szCs w:val="23"/>
        </w:rPr>
      </w:pPr>
      <w:r>
        <w:rPr>
          <w:rFonts w:cs="CG Times" w:ascii="CG Times" w:hAnsi="CG Times"/>
          <w:b/>
          <w:bCs/>
          <w:szCs w:val="23"/>
        </w:rPr>
      </w:r>
    </w:p>
    <w:p>
      <w:pPr>
        <w:pStyle w:val="Normal"/>
        <w:ind w:firstLine="720" w:end="0"/>
        <w:rPr/>
      </w:pPr>
      <w:r>
        <w:rPr>
          <w:rFonts w:cs="CG Times" w:ascii="CG Times" w:hAnsi="CG Times"/>
          <w:szCs w:val="23"/>
        </w:rPr>
        <w:t xml:space="preserve">The Hub-and-Spoke method assumes that every megawatt produced makes it to the market regardless of whether the capacity is price competitive or whether there is sufficient transmission capability.  The Delivered Price Test identifies capacity that can physically </w:t>
      </w:r>
      <w:r>
        <w:rPr>
          <w:rFonts w:cs="CG Times" w:ascii="CG Times" w:hAnsi="CG Times"/>
          <w:i/>
          <w:iCs/>
          <w:szCs w:val="23"/>
        </w:rPr>
        <w:t>and</w:t>
      </w:r>
      <w:r>
        <w:rPr>
          <w:rFonts w:cs="CG Times" w:ascii="CG Times" w:hAnsi="CG Times"/>
          <w:szCs w:val="23"/>
        </w:rPr>
        <w:t xml:space="preserve"> economically compete in a market and then calculates market concentration.</w:t>
      </w:r>
      <w:r>
        <w:rPr>
          <w:rStyle w:val="FootnoteCharacters"/>
          <w:rStyle w:val="FootnoteReference"/>
          <w:rFonts w:cs="CG Times" w:ascii="CG Times" w:hAnsi="CG Times"/>
          <w:szCs w:val="23"/>
        </w:rPr>
        <w:footnoteReference w:id="11"/>
      </w:r>
      <w:r>
        <w:rPr>
          <w:rFonts w:cs="CG Times" w:ascii="CG Times" w:hAnsi="CG Times"/>
          <w:szCs w:val="23"/>
        </w:rPr>
        <w:t xml:space="preserve">  The Commission currently uses the Delivered Price Test to assess the long-term competitive effects of mergers.  </w:t>
      </w:r>
    </w:p>
    <w:p>
      <w:pPr>
        <w:pStyle w:val="Normal"/>
        <w:ind w:firstLine="720" w:end="0"/>
        <w:rPr>
          <w:rFonts w:ascii="CG Times" w:hAnsi="CG Times" w:cs="CG Times"/>
          <w:szCs w:val="23"/>
        </w:rPr>
      </w:pPr>
      <w:r>
        <w:rPr>
          <w:rFonts w:cs="CG Times" w:ascii="CG Times" w:hAnsi="CG Times"/>
          <w:szCs w:val="23"/>
        </w:rPr>
      </w:r>
    </w:p>
    <w:p>
      <w:pPr>
        <w:pStyle w:val="Normal"/>
        <w:ind w:firstLine="720" w:end="0"/>
        <w:rPr>
          <w:rFonts w:ascii="CG Times" w:hAnsi="CG Times" w:cs="CG Times"/>
          <w:szCs w:val="23"/>
        </w:rPr>
      </w:pPr>
      <w:r>
        <w:rPr>
          <w:rFonts w:cs="CG Times" w:ascii="CG Times" w:hAnsi="CG Times"/>
          <w:szCs w:val="23"/>
        </w:rPr>
        <w:t xml:space="preserve">As such, EPSA does not see the need to conduct a full Delivered Price Test as is currently done for merger applications.  A requirement to conduct a full Delivered Price Test including market concentration analysis, rather than a basic market share analysis under the Hub-and-Spoke test or Limited Competing Supplier test, might stifle new entry.  </w:t>
      </w:r>
    </w:p>
    <w:p>
      <w:pPr>
        <w:pStyle w:val="Normal"/>
        <w:ind w:firstLine="720" w:end="0"/>
        <w:rPr>
          <w:rFonts w:ascii="CG Times" w:hAnsi="CG Times" w:cs="CG Times"/>
          <w:szCs w:val="23"/>
        </w:rPr>
      </w:pPr>
      <w:r>
        <w:rPr>
          <w:rFonts w:cs="CG Times" w:ascii="CG Times" w:hAnsi="CG Times"/>
          <w:szCs w:val="23"/>
        </w:rPr>
      </w:r>
    </w:p>
    <w:p>
      <w:pPr>
        <w:pStyle w:val="Normal"/>
        <w:rPr>
          <w:rFonts w:ascii="CG Times" w:hAnsi="CG Times" w:cs="CG Times"/>
          <w:b/>
          <w:bCs/>
          <w:szCs w:val="23"/>
        </w:rPr>
      </w:pPr>
      <w:r>
        <w:rPr>
          <w:rFonts w:cs="CG Times" w:ascii="CG Times" w:hAnsi="CG Times"/>
          <w:b/>
          <w:bCs/>
          <w:szCs w:val="23"/>
        </w:rPr>
        <w:t>OPTION 4:  RESIDUAL SUPPLY INDEX</w:t>
      </w:r>
    </w:p>
    <w:p>
      <w:pPr>
        <w:pStyle w:val="Normal"/>
        <w:rPr>
          <w:rFonts w:ascii="CG Times" w:hAnsi="CG Times" w:cs="CG Times"/>
          <w:b/>
          <w:bCs/>
          <w:szCs w:val="23"/>
        </w:rPr>
      </w:pPr>
      <w:r>
        <w:rPr>
          <w:rFonts w:cs="CG Times" w:ascii="CG Times" w:hAnsi="CG Times"/>
          <w:b/>
          <w:bCs/>
          <w:szCs w:val="23"/>
        </w:rPr>
      </w:r>
    </w:p>
    <w:p>
      <w:pPr>
        <w:pStyle w:val="Normal"/>
        <w:rPr/>
      </w:pPr>
      <w:r>
        <w:rPr>
          <w:rFonts w:cs="CG Times" w:ascii="CG Times" w:hAnsi="CG Times"/>
          <w:b/>
          <w:bCs/>
          <w:szCs w:val="23"/>
        </w:rPr>
        <w:tab/>
      </w:r>
      <w:r>
        <w:rPr>
          <w:rFonts w:cs="CG Times" w:ascii="CG Times" w:hAnsi="CG Times"/>
          <w:szCs w:val="23"/>
        </w:rPr>
        <w:t>EPSA’s concerns regarding the SMA apply equally to the RSI because the method confuses potential market power with capacity shortage conditions.  Again, as we understand it, a supplier would be granted market-based rate authority if supply still exceeds load when that suppliers’ capacity is ignored.</w:t>
      </w:r>
    </w:p>
    <w:p>
      <w:pPr>
        <w:pStyle w:val="Normal"/>
        <w:rPr>
          <w:rFonts w:ascii="CG Times" w:hAnsi="CG Times" w:cs="CG Times"/>
          <w:szCs w:val="23"/>
        </w:rPr>
      </w:pPr>
      <w:r>
        <w:rPr>
          <w:rFonts w:cs="CG Times" w:ascii="CG Times" w:hAnsi="CG Times"/>
          <w:szCs w:val="23"/>
        </w:rPr>
      </w:r>
    </w:p>
    <w:p>
      <w:pPr>
        <w:pStyle w:val="Heading1"/>
        <w:numPr>
          <w:ilvl w:val="0"/>
          <w:numId w:val="0"/>
        </w:numPr>
        <w:ind w:hanging="0" w:start="0"/>
        <w:rPr>
          <w:rFonts w:ascii="CG Times" w:hAnsi="CG Times" w:cs="CG Times"/>
          <w:szCs w:val="23"/>
        </w:rPr>
      </w:pPr>
      <w:r>
        <w:rPr>
          <w:rFonts w:cs="CG Times" w:ascii="CG Times" w:hAnsi="CG Times"/>
          <w:szCs w:val="23"/>
        </w:rPr>
        <w:t>OPTION 5: ASSESS AND MITIGATE MARKET POWER BY TYPE OF MARKET DESIGN</w:t>
      </w:r>
    </w:p>
    <w:p>
      <w:pPr>
        <w:pStyle w:val="Normal"/>
        <w:rPr>
          <w:rFonts w:ascii="CG Times" w:hAnsi="CG Times" w:cs="CG Times"/>
          <w:szCs w:val="23"/>
        </w:rPr>
      </w:pPr>
      <w:r>
        <w:rPr>
          <w:rFonts w:cs="CG Times" w:ascii="CG Times" w:hAnsi="CG Times"/>
          <w:szCs w:val="23"/>
        </w:rPr>
      </w:r>
    </w:p>
    <w:p>
      <w:pPr>
        <w:pStyle w:val="Normal"/>
        <w:rPr>
          <w:rFonts w:ascii="CG Times" w:hAnsi="CG Times" w:cs="CG Times"/>
          <w:szCs w:val="23"/>
        </w:rPr>
      </w:pPr>
      <w:r>
        <w:rPr>
          <w:rFonts w:cs="CG Times" w:ascii="CG Times" w:hAnsi="CG Times"/>
          <w:szCs w:val="23"/>
        </w:rPr>
        <w:tab/>
        <w:t xml:space="preserve">Option 5 proposes that the Commission grant market-based rate authority to all suppliers that make sales into bid-based markets operated by an ISO or RTO; suppliers would not be obligated to pass any of the structural tests for market power.  Suppliers participating in these bid-based markets would instead be subject to the ISOs’ existing market monitoring and mitigation mechanisms.  </w:t>
      </w:r>
    </w:p>
    <w:p>
      <w:pPr>
        <w:pStyle w:val="Normal"/>
        <w:rPr>
          <w:rFonts w:ascii="CG Times" w:hAnsi="CG Times" w:cs="CG Times"/>
          <w:szCs w:val="23"/>
        </w:rPr>
      </w:pPr>
      <w:r>
        <w:rPr>
          <w:rFonts w:cs="CG Times" w:ascii="CG Times" w:hAnsi="CG Times"/>
          <w:szCs w:val="23"/>
        </w:rPr>
      </w:r>
    </w:p>
    <w:p>
      <w:pPr>
        <w:pStyle w:val="Normal"/>
        <w:ind w:firstLine="720" w:end="0"/>
        <w:rPr/>
      </w:pPr>
      <w:r>
        <w:rPr>
          <w:rFonts w:cs="CG Times" w:ascii="CG Times" w:hAnsi="CG Times"/>
          <w:szCs w:val="23"/>
        </w:rPr>
        <w:t xml:space="preserve">The implication of creating a lower hurdle for market-based rate authority in ISO/RTO-administered bid-based markets is that FERC-approved ISO/RTO bid-based markets are competitive and that this competition naturally diffuses market power, thereby obviating the need for intervention into the markets.  FERC is also using market-based rate authority to encourage participation in RTOs.  </w:t>
      </w:r>
      <w:r>
        <w:rPr>
          <w:rFonts w:cs="CG Times" w:ascii="CG Times" w:hAnsi="CG Times"/>
        </w:rPr>
        <w:t>EPSA agrees with the concept of differentiating suppliers who sell into ISO/RTO bid-based markets from those who do not.</w:t>
      </w:r>
      <w:r>
        <w:rPr>
          <w:rFonts w:cs="CG Times" w:ascii="CG Times" w:hAnsi="CG Times"/>
          <w:szCs w:val="23"/>
        </w:rPr>
        <w:t xml:space="preserve">  However, experience in individual ISOs shows that market mitigation has too often led to a long-term schedule of price controls, which limit the efficiency of markets and may actually reduce competition.  Blanket approval of market-based rates in RTOs should not be construed as an endorsement by FERC of misguided market mitigation or price controls.</w:t>
      </w:r>
    </w:p>
    <w:p>
      <w:pPr>
        <w:pStyle w:val="Normal"/>
        <w:ind w:firstLine="720" w:end="0"/>
        <w:rPr>
          <w:rFonts w:ascii="CG Times" w:hAnsi="CG Times" w:cs="CG Times"/>
          <w:szCs w:val="23"/>
        </w:rPr>
      </w:pPr>
      <w:r>
        <w:rPr>
          <w:rFonts w:cs="CG Times" w:ascii="CG Times" w:hAnsi="CG Times"/>
          <w:szCs w:val="23"/>
        </w:rPr>
      </w:r>
    </w:p>
    <w:p>
      <w:pPr>
        <w:pStyle w:val="BodyTextIndent"/>
        <w:numPr>
          <w:ilvl w:val="0"/>
          <w:numId w:val="0"/>
        </w:numPr>
        <w:tabs>
          <w:tab w:val="clear" w:pos="0"/>
          <w:tab w:val="left" w:pos="1440" w:leader="none"/>
        </w:tabs>
        <w:ind w:firstLine="720" w:start="0" w:end="0"/>
        <w:rPr>
          <w:rFonts w:cs="Times New Roman"/>
        </w:rPr>
      </w:pPr>
      <w:r>
        <w:rPr>
          <w:rFonts w:cs="Times New Roman"/>
        </w:rPr>
        <w:t>EPSA agrees with FERC Staff and could support this option if it means FERC will focus on establishing the right market rules and market structures in RTOs.  As a basis, RTOs must be independent from market participants, including transmission owners.  RTOs should operate a real-time spot market and ancillary services markets.  These RTO-administered markets will foster the development of robust bilateral forward markets.  Furthermore, EPSA supports standardizing market design and RTO tariffs to hasten the development of competitive markets.  Designing RTOs with the right structures and right market rules should be the FERC’s focus at this juncture.  If market-based rate Option 5 can be used to further this goal and help move RTOs forward, EPSA would support this effort.</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w:altName w:val="Bell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iCs/>
        </w:rPr>
        <w:t>See</w:t>
      </w:r>
      <w:r>
        <w:rPr/>
        <w:t xml:space="preserve"> Commission Massey’s dissenting opinion in Docket No. ER01-2086. </w:t>
      </w:r>
    </w:p>
  </w:footnote>
  <w:footnote w:id="3">
    <w:p>
      <w:pPr>
        <w:pStyle w:val="FootnoteText"/>
        <w:rPr/>
      </w:pPr>
      <w:r>
        <w:rPr>
          <w:rStyle w:val="FootnoteCharacters"/>
        </w:rPr>
        <w:footnoteRef/>
      </w:r>
      <w:r>
        <w:rPr/>
        <w:t xml:space="preserve"> </w:t>
      </w:r>
      <w:r>
        <w:rPr>
          <w:i/>
          <w:iCs/>
        </w:rPr>
        <w:t>See</w:t>
      </w:r>
      <w:r>
        <w:rPr/>
        <w:t xml:space="preserve"> FERC Staff’s Market Based Rates Options Paper, presented at the FERC meeting on September 26, 2001, available at http://www.ferc.fd.us/calender/commissionmeetings/discussion_papers.htm.</w:t>
      </w:r>
    </w:p>
  </w:footnote>
  <w:footnote w:id="4">
    <w:p>
      <w:pPr>
        <w:pStyle w:val="FootnoteText"/>
        <w:rPr/>
      </w:pPr>
      <w:r>
        <w:rPr>
          <w:rStyle w:val="FootnoteCharacters"/>
        </w:rPr>
        <w:footnoteRef/>
      </w:r>
      <w:r>
        <w:rPr/>
        <w:t xml:space="preserve"> </w:t>
      </w:r>
      <w:r>
        <w:rPr>
          <w:rFonts w:cs="CG Times" w:ascii="CG Times" w:hAnsi="CG Times"/>
        </w:rPr>
        <w:t>EPSA is the national trade association representing competitive power suppliers, including independent power producers, merchant generators and power marketers.  EPSA members provide reliable, competitively priced electricity from environmentally responsible facilities in the U.S. and global power markets.  EPSA seeks to bring the benefits of competition to all power customers.</w:t>
      </w:r>
    </w:p>
  </w:footnote>
  <w:footnote w:id="5">
    <w:p>
      <w:pPr>
        <w:pStyle w:val="FootnoteText"/>
        <w:rPr/>
      </w:pPr>
      <w:r>
        <w:rPr>
          <w:rStyle w:val="FootnoteCharacters"/>
        </w:rPr>
        <w:footnoteRef/>
      </w:r>
      <w:r>
        <w:rPr>
          <w:rFonts w:cs="CG Times" w:ascii="CG Times" w:hAnsi="CG Times"/>
        </w:rPr>
        <w:t xml:space="preserve"> </w:t>
      </w:r>
      <w:r>
        <w:rPr>
          <w:rFonts w:cs="CG Times" w:ascii="CG Times" w:hAnsi="CG Times"/>
        </w:rPr>
        <w:t xml:space="preserve">In its report assessing oil pipeline deregulation the Antitrust Division of the U.S. Department of Justice concluded that a Herfindahl-Hirshmann Index screen of 2500 is clearly is appropriate when comparing the benefits of market-based pricing to cost of service regulation.  </w:t>
      </w:r>
      <w:r>
        <w:rPr>
          <w:rFonts w:cs="CG Times" w:ascii="CG Times" w:hAnsi="CG Times"/>
          <w:i/>
          <w:iCs/>
        </w:rPr>
        <w:t>See</w:t>
      </w:r>
      <w:r>
        <w:rPr>
          <w:rFonts w:cs="CG Times" w:ascii="CG Times" w:hAnsi="CG Times"/>
        </w:rPr>
        <w:t xml:space="preserve"> Antitrust Division, Report of the U.S. Dept. of Justice, Oil Pipeline Deregulation, at 29-30 (May 1986). </w:t>
      </w:r>
      <w:r>
        <w:rPr>
          <w:rFonts w:cs="CG Times" w:ascii="CG Times" w:hAnsi="CG Times"/>
          <w:i/>
        </w:rPr>
        <w:t xml:space="preserve"> See also </w:t>
      </w:r>
      <w:r>
        <w:rPr>
          <w:rFonts w:cs="CG Times" w:ascii="CG Times" w:hAnsi="CG Times"/>
        </w:rPr>
        <w:t xml:space="preserve">Gregory J. Werden, </w:t>
      </w:r>
      <w:r>
        <w:rPr>
          <w:rFonts w:cs="CG Times" w:ascii="CG Times" w:hAnsi="CG Times"/>
          <w:i/>
        </w:rPr>
        <w:t>Identifying Market Power in Electric Generation</w:t>
      </w:r>
      <w:r>
        <w:rPr>
          <w:rFonts w:cs="CG Times" w:ascii="CG Times" w:hAnsi="CG Times"/>
        </w:rPr>
        <w:t xml:space="preserve">, Public Utilities Fortnightly, Feb. 15, 1996, at 20; Paul L. Joskow, </w:t>
      </w:r>
      <w:r>
        <w:rPr>
          <w:rFonts w:cs="CG Times" w:ascii="CG Times" w:hAnsi="CG Times"/>
          <w:i/>
        </w:rPr>
        <w:t>Horizontal Market Power in Wholesale Power Markets</w:t>
      </w:r>
      <w:r>
        <w:rPr>
          <w:rFonts w:cs="CG Times" w:ascii="CG Times" w:hAnsi="CG Times"/>
        </w:rPr>
        <w:t xml:space="preserve">, Appendix A to Initial Comments of Edison Electric Institute, FERC Docket Nos. RM94-7-001, RM95-8-000 (August 1995) at 33-39.  An HHI screen of 2500 equates to a market with four equal size firms, </w:t>
      </w:r>
      <w:r>
        <w:rPr>
          <w:rFonts w:cs="CG Times" w:ascii="CG Times" w:hAnsi="CG Times"/>
          <w:i/>
        </w:rPr>
        <w:t xml:space="preserve">i.e., </w:t>
      </w:r>
      <w:r>
        <w:rPr>
          <w:rFonts w:cs="CG Times" w:ascii="CG Times" w:hAnsi="CG Times"/>
        </w:rPr>
        <w:t>each with a market share of 25 percent.</w:t>
      </w:r>
    </w:p>
  </w:footnote>
  <w:footnote w:id="6">
    <w:p>
      <w:pPr>
        <w:pStyle w:val="FootnoteText"/>
        <w:rPr/>
      </w:pPr>
      <w:r>
        <w:rPr>
          <w:rStyle w:val="FootnoteCharacters"/>
        </w:rPr>
        <w:footnoteRef/>
      </w:r>
      <w:r>
        <w:rPr/>
        <w:t xml:space="preserve"> </w:t>
      </w:r>
      <w:r>
        <w:rPr>
          <w:i/>
          <w:iCs/>
        </w:rPr>
        <w:t>See</w:t>
      </w:r>
      <w:r>
        <w:rPr/>
        <w:t xml:space="preserve"> S. Rep. No. 100-491, at 3-4 (1998) (emphasis added)  “Under present law, public utilities keep revenues collected during the pendency of a section 206 proceeding, even if those revenues are subsequently determined to be excessive.  H.R. 2858 would correct this problem by giving FERC the authority to order refunds, </w:t>
      </w:r>
      <w:r>
        <w:rPr>
          <w:u w:val="single"/>
        </w:rPr>
        <w:t>subject to certain limitations</w:t>
      </w:r>
      <w:r>
        <w:rPr/>
        <w:t xml:space="preserve">.”       </w:t>
      </w:r>
    </w:p>
  </w:footnote>
  <w:footnote w:id="7">
    <w:p>
      <w:pPr>
        <w:pStyle w:val="FootnoteText"/>
        <w:rPr/>
      </w:pPr>
      <w:r>
        <w:rPr>
          <w:rStyle w:val="FootnoteCharacters"/>
        </w:rPr>
        <w:footnoteRef/>
      </w:r>
      <w:r>
        <w:rPr/>
        <w:t xml:space="preserve"> </w:t>
      </w:r>
      <w:r>
        <w:rPr/>
        <w:t>16 USC Sec. 824e.</w:t>
      </w:r>
    </w:p>
  </w:footnote>
  <w:footnote w:id="8">
    <w:p>
      <w:pPr>
        <w:pStyle w:val="FootnoteText"/>
        <w:rPr/>
      </w:pPr>
      <w:r>
        <w:rPr>
          <w:rStyle w:val="FootnoteCharacters"/>
        </w:rPr>
        <w:footnoteRef/>
      </w:r>
      <w:r>
        <w:rPr/>
        <w:t xml:space="preserve">  </w:t>
      </w:r>
      <w:r>
        <w:rPr>
          <w:i/>
          <w:iCs/>
        </w:rPr>
        <w:t xml:space="preserve">See </w:t>
      </w:r>
      <w:r>
        <w:rPr>
          <w:rFonts w:cs="CG Times" w:ascii="CG Times" w:hAnsi="CG Times"/>
          <w:i/>
        </w:rPr>
        <w:t>Panhandle Eastern Pipe Line Co. v. FERC</w:t>
      </w:r>
      <w:r>
        <w:rPr>
          <w:rFonts w:cs="CG Times" w:ascii="CG Times" w:hAnsi="CG Times"/>
        </w:rPr>
        <w:t xml:space="preserve">, 613 F.2d 1120 (D.C. Cir. 1979), cert. denied, 449 U.S. 889 (1980).  </w:t>
      </w:r>
    </w:p>
  </w:footnote>
  <w:footnote w:id="9">
    <w:p>
      <w:pPr>
        <w:pStyle w:val="FootnoteText"/>
        <w:rPr/>
      </w:pPr>
      <w:r>
        <w:rPr>
          <w:rStyle w:val="FootnoteCharacters"/>
        </w:rPr>
        <w:footnoteRef/>
      </w:r>
      <w:r>
        <w:rPr/>
        <w:t xml:space="preserve"> </w:t>
      </w:r>
      <w:r>
        <w:rPr>
          <w:rFonts w:cs="CG Times" w:ascii="CG Times" w:hAnsi="CG Times"/>
          <w:i/>
          <w:iCs/>
        </w:rPr>
        <w:t>See Altamont Gas Transmission Co. v. FERC</w:t>
      </w:r>
      <w:r>
        <w:rPr>
          <w:rFonts w:cs="CG Times" w:ascii="CG Times" w:hAnsi="CG Times"/>
        </w:rPr>
        <w:t xml:space="preserve">, 92 F.3d 1239, 1246-48 (D.C. Cir. 1996).  </w:t>
      </w:r>
    </w:p>
  </w:footnote>
  <w:footnote w:id="10">
    <w:p>
      <w:pPr>
        <w:pStyle w:val="FootnoteText"/>
        <w:rPr/>
      </w:pPr>
      <w:r>
        <w:rPr>
          <w:rStyle w:val="FootnoteCharacters"/>
        </w:rPr>
        <w:footnoteRef/>
      </w:r>
      <w:r>
        <w:rPr/>
        <w:t xml:space="preserve"> </w:t>
      </w:r>
      <w:r>
        <w:rPr>
          <w:rFonts w:cs="CG Times" w:ascii="CG Times" w:hAnsi="CG Times"/>
          <w:i/>
          <w:iCs/>
        </w:rPr>
        <w:t>See American Gas Ass’n v. FERC</w:t>
      </w:r>
      <w:r>
        <w:rPr>
          <w:rFonts w:cs="CG Times" w:ascii="CG Times" w:hAnsi="CG Times"/>
        </w:rPr>
        <w:t xml:space="preserve">, 912 F.2d 1496, 1510 (D.C. Cir. 1990) (“The Commission may not use its § 7 conditioning power to do indirectly (1) things that it can do only by satisfying specific safeguards not contained in § 7(e) (in the case of reducing previously-approved jurisdictional rates, by meeting its burden under § 5, or (2), </w:t>
      </w:r>
      <w:r>
        <w:rPr>
          <w:rStyle w:val="Emphasis"/>
          <w:rFonts w:cs="CG Times" w:ascii="CG Times" w:hAnsi="CG Times"/>
        </w:rPr>
        <w:t>a fortiori</w:t>
      </w:r>
      <w:r>
        <w:rPr>
          <w:rFonts w:cs="CG Times" w:ascii="CG Times" w:hAnsi="CG Times"/>
        </w:rPr>
        <w:t xml:space="preserve">, things that it cannot do at all.”) (citations omitted); </w:t>
      </w:r>
      <w:r>
        <w:rPr>
          <w:rFonts w:cs="CG Times" w:ascii="CG Times" w:hAnsi="CG Times"/>
          <w:i/>
          <w:iCs/>
        </w:rPr>
        <w:t>Northern Natural Gas Co. v. FERC</w:t>
      </w:r>
      <w:r>
        <w:rPr>
          <w:rFonts w:cs="CG Times" w:ascii="CG Times" w:hAnsi="CG Times"/>
        </w:rPr>
        <w:t xml:space="preserve">, 827 F.2d 779, 781 (1987) (en banc) (holding that the Commission’s authority under §7 of the Natural Gas Act could not be used so as to eviscerate the protections in §§4-5).  </w:t>
      </w:r>
    </w:p>
  </w:footnote>
  <w:footnote w:id="11">
    <w:p>
      <w:pPr>
        <w:pStyle w:val="FootnoteText"/>
        <w:tabs>
          <w:tab w:val="clear" w:pos="720"/>
          <w:tab w:val="left" w:pos="1980" w:leader="none"/>
        </w:tabs>
        <w:rPr/>
      </w:pPr>
      <w:r>
        <w:rPr>
          <w:rStyle w:val="FootnoteCharacters"/>
        </w:rPr>
        <w:footnoteRef/>
      </w:r>
      <w:r>
        <w:rPr/>
        <w:t xml:space="preserve"> </w:t>
      </w:r>
      <w:r>
        <w:rPr/>
        <w:t>Herfindahl-Hirshmann Indexes are the measures used in a merger application to assess the concentration of the market and the impact of the merger on that concentration.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11/14/01 DRAFT</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108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CG Times (W1);Times New Roman" w:hAnsi="CG Times (W1);Times New Roman" w:eastAsia="Times New Roman" w:cs="CG Times (W1);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s>
      <w:outlineLvl w:val="0"/>
    </w:pPr>
    <w:rPr>
      <w:b/>
    </w:rPr>
  </w:style>
  <w:style w:type="paragraph" w:styleId="Heading2">
    <w:name w:val="heading 2"/>
    <w:basedOn w:val="Normal"/>
    <w:next w:val="Normal"/>
    <w:qFormat/>
    <w:pPr>
      <w:keepNext w:val="true"/>
      <w:tabs>
        <w:tab w:val="clear" w:pos="720"/>
        <w:tab w:val="left" w:pos="1440" w:leader="none"/>
      </w:tabs>
      <w:outlineLvl w:val="1"/>
    </w:pPr>
    <w:rPr>
      <w:rFonts w:ascii="CG Times" w:hAnsi="CG Times" w:cs="Arial"/>
      <w:b/>
      <w:bCs/>
    </w:rPr>
  </w:style>
  <w:style w:type="paragraph" w:styleId="Heading3">
    <w:name w:val="heading 3"/>
    <w:basedOn w:val="Normal"/>
    <w:next w:val="Normal"/>
    <w:qFormat/>
    <w:pPr>
      <w:keepNext w:val="true"/>
      <w:jc w:val="center"/>
      <w:outlineLvl w:val="2"/>
    </w:pPr>
    <w:rPr>
      <w:b/>
      <w:bCs/>
      <w:szCs w:val="23"/>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tabs>
        <w:tab w:val="clear" w:pos="720"/>
        <w:tab w:val="left" w:pos="0" w:leader="none"/>
      </w:tabs>
      <w:ind w:firstLine="720" w:start="0" w:end="0"/>
    </w:pPr>
    <w:rPr>
      <w:rFonts w:ascii="CG Times" w:hAnsi="CG Times" w:cs="Arial"/>
    </w:rPr>
  </w:style>
  <w:style w:type="paragraph" w:styleId="BodySingle">
    <w:name w:val="Body Single"/>
    <w:basedOn w:val="Normal"/>
    <w:qFormat/>
    <w:pPr>
      <w:overflowPunct w:val="true"/>
      <w:autoSpaceDE w:val="true"/>
      <w:spacing w:lineRule="exact" w:line="260" w:before="260" w:after="0"/>
      <w:ind w:firstLine="1080" w:start="0" w:end="0"/>
      <w:textAlignment w:val="auto"/>
    </w:pPr>
    <w:rPr>
      <w:rFonts w:ascii="Galliard;Bell MT" w:hAnsi="Galliard;Bell MT" w:cs="Galliard;Bell MT"/>
    </w:rPr>
  </w:style>
  <w:style w:type="paragraph" w:styleId="BodyTextStyle">
    <w:name w:val="Body Text Style"/>
    <w:basedOn w:val="Normal"/>
    <w:qFormat/>
    <w:pPr>
      <w:overflowPunct w:val="true"/>
      <w:autoSpaceDE w:val="true"/>
      <w:spacing w:lineRule="exact" w:line="520"/>
      <w:ind w:firstLine="1080" w:start="0" w:end="0"/>
      <w:textAlignment w:val="auto"/>
    </w:pPr>
    <w:rPr>
      <w:rFonts w:ascii="Galliard;Bell MT" w:hAnsi="Galliard;Bell MT" w:cs="Galliard;Bell MT"/>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2001-11-13T12:09:00Z</dcterms:created>
  <dc:creator>Wendy Werner</dc:creator>
  <dc:description/>
  <dc:language>en-CA</dc:language>
  <cp:lastModifiedBy>Wendy Werner</cp:lastModifiedBy>
  <cp:lastPrinted>2001-11-14T11:34:00Z</cp:lastPrinted>
  <dcterms:modified xsi:type="dcterms:W3CDTF">2001-11-14T14:29:00Z</dcterms:modified>
  <cp:revision>14</cp:revision>
  <dc:subject/>
  <dc:title>I</dc:title>
</cp:coreProperties>
</file>