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DRAFT 7/19/01</w:t>
      </w:r>
    </w:p>
    <w:p>
      <w:pPr>
        <w:pStyle w:val="Heading1"/>
        <w:ind w:hanging="0" w:start="0"/>
        <w:jc w:val="center"/>
        <w:rPr>
          <w:u w:val="none"/>
        </w:rPr>
      </w:pPr>
      <w:r>
        <w:rPr/>
        <w:t>M E M O R A N D U M</w:t>
      </w:r>
    </w:p>
    <w:p>
      <w:pPr>
        <w:pStyle w:val="Normal"/>
        <w:rPr>
          <w:u w:val="none"/>
        </w:rPr>
      </w:pPr>
      <w:r>
        <w:rPr>
          <w:u w:val="none"/>
        </w:rPr>
      </w:r>
    </w:p>
    <w:p>
      <w:pPr>
        <w:pStyle w:val="Normal"/>
        <w:rPr>
          <w:b/>
          <w:bCs/>
        </w:rPr>
      </w:pPr>
      <w:r>
        <w:rPr>
          <w:b/>
          <w:bCs/>
        </w:rPr>
      </w:r>
    </w:p>
    <w:p>
      <w:pPr>
        <w:pStyle w:val="Normal"/>
        <w:rPr/>
      </w:pPr>
      <w:r>
        <w:rPr>
          <w:b/>
          <w:bCs/>
        </w:rPr>
        <w:t>TO:</w:t>
      </w:r>
      <w:r>
        <w:rPr/>
        <w:tab/>
        <w:tab/>
        <w:t>Enron Corp. Government Affairs</w:t>
      </w:r>
    </w:p>
    <w:p>
      <w:pPr>
        <w:pStyle w:val="Normal"/>
        <w:rPr/>
      </w:pPr>
      <w:r>
        <w:rPr/>
        <w:tab/>
        <w:tab/>
        <w:t>ETS Government Affairs</w:t>
      </w:r>
    </w:p>
    <w:p>
      <w:pPr>
        <w:pStyle w:val="Normal"/>
        <w:rPr/>
      </w:pPr>
      <w:r>
        <w:rPr/>
      </w:r>
    </w:p>
    <w:p>
      <w:pPr>
        <w:pStyle w:val="Normal"/>
        <w:rPr/>
      </w:pPr>
      <w:r>
        <w:rPr>
          <w:b/>
          <w:bCs/>
        </w:rPr>
        <w:t>FROM:</w:t>
        <w:tab/>
      </w:r>
      <w:r>
        <w:rPr/>
        <w:t>Enron Corp. Federal Regulatory Affairs</w:t>
      </w:r>
    </w:p>
    <w:p>
      <w:pPr>
        <w:pStyle w:val="Normal"/>
        <w:rPr/>
      </w:pPr>
      <w:r>
        <w:rPr/>
      </w:r>
    </w:p>
    <w:p>
      <w:pPr>
        <w:pStyle w:val="Normal"/>
        <w:rPr/>
      </w:pPr>
      <w:r>
        <w:rPr>
          <w:b/>
          <w:bCs/>
        </w:rPr>
        <w:t>RE:</w:t>
        <w:tab/>
        <w:tab/>
      </w:r>
      <w:r>
        <w:rPr/>
        <w:t>FERC Proceeding on Marketing Affiliate Rules</w:t>
      </w:r>
    </w:p>
    <w:p>
      <w:pPr>
        <w:pStyle w:val="Normal"/>
        <w:rPr/>
      </w:pPr>
      <w:r>
        <w:rPr/>
      </w:r>
    </w:p>
    <w:p>
      <w:pPr>
        <w:pStyle w:val="Normal"/>
        <w:rPr/>
      </w:pPr>
      <w:r>
        <w:rPr>
          <w:b/>
          <w:bCs/>
        </w:rPr>
        <w:t>DATE:</w:t>
      </w:r>
      <w:r>
        <w:rPr/>
        <w:tab/>
        <w:t>July 19, 2001</w:t>
      </w:r>
    </w:p>
    <w:p>
      <w:pPr>
        <w:pStyle w:val="Normal"/>
        <w:rPr/>
      </w:pPr>
      <w:r>
        <w:rPr/>
      </w:r>
    </w:p>
    <w:p>
      <w:pPr>
        <w:pStyle w:val="BodyText"/>
        <w:rPr/>
      </w:pPr>
      <w:r>
        <w:rPr/>
        <w:tab/>
        <w:t>The following is a summary of the current status of FERC's inquiry into the Standards of Conduct for Interstate Pipelines with Marketing Affiliates, and Enron's position on the issues.  We will be providing you with an update after the Commission's June 25, 2001 meeting.  If you would like further information in the meantime, please contact _________________.</w:t>
      </w:r>
    </w:p>
    <w:p>
      <w:pPr>
        <w:pStyle w:val="Normal"/>
        <w:rPr/>
      </w:pPr>
      <w:r>
        <w:rPr/>
      </w:r>
    </w:p>
    <w:p>
      <w:pPr>
        <w:pStyle w:val="Heading1"/>
        <w:ind w:hanging="0" w:start="0"/>
        <w:rPr/>
      </w:pPr>
      <w:r>
        <w:rPr/>
        <w:t>Procedural background</w:t>
      </w:r>
    </w:p>
    <w:p>
      <w:pPr>
        <w:pStyle w:val="Normal"/>
        <w:rPr/>
      </w:pPr>
      <w:r>
        <w:rPr/>
      </w:r>
    </w:p>
    <w:p>
      <w:pPr>
        <w:pStyle w:val="BodyTextIndent"/>
        <w:rPr/>
      </w:pPr>
      <w:r>
        <w:rPr/>
        <w:t>On March 15, 2001, FERC held a public conference in Docket No. PL00-1 to address whether the Commission's regulatory policy on pipeline affiliates and non-affiliates, as well as asset managers and agents, should be revised to reflect the changing nature of the gas market and whether the pipeline affiliate rules need to be revised.</w:t>
      </w:r>
    </w:p>
    <w:p>
      <w:pPr>
        <w:pStyle w:val="Normal"/>
        <w:rPr/>
      </w:pPr>
      <w:r>
        <w:rPr/>
      </w:r>
    </w:p>
    <w:p>
      <w:pPr>
        <w:pStyle w:val="BodyTextIndent"/>
        <w:rPr/>
      </w:pPr>
      <w:r>
        <w:rPr/>
        <w:t xml:space="preserve">A proceeding concerning standards of conduct for "transmission providers" has been placed on FERC's July 25, 2001 consent agenda.  We have been told that the item will be a Notice of Inquiry and that it will encompass both electric power transmission and gas pipeline issues.  (If the proceeding is indeed a Notice of Inquiry rather than a Notice of Proposed Rulemaking, this seems to suggest that FERC has not made up its mind whether it will change the existing rules, and is merely soliciting information from market participants.)  </w:t>
      </w:r>
    </w:p>
    <w:p>
      <w:pPr>
        <w:pStyle w:val="Normal"/>
        <w:rPr/>
      </w:pPr>
      <w:r>
        <w:rPr/>
      </w:r>
    </w:p>
    <w:p>
      <w:pPr>
        <w:pStyle w:val="Heading1"/>
        <w:ind w:hanging="0" w:start="0"/>
        <w:rPr/>
      </w:pPr>
      <w:r>
        <w:rPr/>
        <w:t>Enron's basic principles on marketing affiliate rules</w:t>
      </w:r>
    </w:p>
    <w:p>
      <w:pPr>
        <w:pStyle w:val="Normal"/>
        <w:rPr>
          <w:b/>
          <w:bCs/>
          <w:u w:val="single"/>
        </w:rPr>
      </w:pPr>
      <w:r>
        <w:rPr>
          <w:b/>
          <w:bCs/>
          <w:u w:val="single"/>
        </w:rPr>
      </w:r>
    </w:p>
    <w:p>
      <w:pPr>
        <w:pStyle w:val="BodyTextIndent"/>
        <w:rPr/>
      </w:pPr>
      <w:r>
        <w:rPr/>
        <w:t>1.  ENA filed comments in connection with the March conference identifying three broad principles to govern the Commission's analysis (and action, if any):</w:t>
      </w:r>
    </w:p>
    <w:p>
      <w:pPr>
        <w:pStyle w:val="Normal"/>
        <w:rPr/>
      </w:pPr>
      <w:r>
        <w:rPr/>
      </w:r>
    </w:p>
    <w:p>
      <w:pPr>
        <w:pStyle w:val="BodyText"/>
        <w:rPr/>
      </w:pPr>
      <w:r>
        <w:rPr/>
        <w:tab/>
        <w:tab/>
        <w:t>a.  finding the proper balance between restrictions on pipeline-affiliate interaction and hampering the marketplace</w:t>
      </w:r>
    </w:p>
    <w:p>
      <w:pPr>
        <w:pStyle w:val="Normal"/>
        <w:rPr/>
      </w:pPr>
      <w:r>
        <w:rPr/>
      </w:r>
    </w:p>
    <w:p>
      <w:pPr>
        <w:pStyle w:val="BodyText"/>
        <w:rPr/>
      </w:pPr>
      <w:r>
        <w:rPr/>
        <w:tab/>
        <w:tab/>
        <w:t>b.  ensuring that the rules do not stand in the way of vibrant and rapid market development, innovation and new technologies</w:t>
      </w:r>
    </w:p>
    <w:p>
      <w:pPr>
        <w:pStyle w:val="Normal"/>
        <w:rPr/>
      </w:pPr>
      <w:r>
        <w:rPr/>
      </w:r>
    </w:p>
    <w:p>
      <w:pPr>
        <w:pStyle w:val="BodyText"/>
        <w:rPr/>
      </w:pPr>
      <w:r>
        <w:rPr/>
        <w:tab/>
        <w:tab/>
        <w:t>c.  reexamining the definition of marketing affiliate to include all generation affiliates that might be in a position to receive preferential treatment</w:t>
      </w:r>
    </w:p>
    <w:p>
      <w:pPr>
        <w:pStyle w:val="Normal"/>
        <w:rPr/>
      </w:pPr>
      <w:r>
        <w:rPr/>
      </w:r>
    </w:p>
    <w:p>
      <w:pPr>
        <w:pStyle w:val="BodyTextIndent"/>
        <w:rPr/>
      </w:pPr>
      <w:r>
        <w:rPr/>
        <w:t>2.  The Enron Interstate Pipelines filed comments emphasizing that the current rules are adequate and that the rules should not be changed to track the standards applicable to the electric industry.</w:t>
      </w:r>
    </w:p>
    <w:p>
      <w:pPr>
        <w:pStyle w:val="Normal"/>
        <w:rPr/>
      </w:pPr>
      <w:r>
        <w:rPr/>
      </w:r>
    </w:p>
    <w:p>
      <w:pPr>
        <w:pStyle w:val="Heading1"/>
        <w:ind w:hanging="0" w:start="0"/>
        <w:rPr/>
      </w:pPr>
      <w:r>
        <w:rPr/>
        <w:t xml:space="preserve">Why change the existing rules? </w:t>
      </w:r>
    </w:p>
    <w:p>
      <w:pPr>
        <w:pStyle w:val="Normal"/>
        <w:rPr/>
      </w:pPr>
      <w:r>
        <w:rPr/>
      </w:r>
    </w:p>
    <w:p>
      <w:pPr>
        <w:pStyle w:val="BodyTextIndent"/>
        <w:rPr/>
      </w:pPr>
      <w:r>
        <w:rPr/>
        <w:t>1.  Recent claims of affiliate abuse, while still unproven, may have created a crisis of confidence in the industry, prompting the Commission to initiate a proceeding to examine the adequacy of the existing marketing affiliate rules.</w:t>
      </w:r>
    </w:p>
    <w:p>
      <w:pPr>
        <w:pStyle w:val="Normal"/>
        <w:rPr/>
      </w:pPr>
      <w:r>
        <w:rPr/>
      </w:r>
    </w:p>
    <w:p>
      <w:pPr>
        <w:pStyle w:val="BodyText"/>
        <w:rPr/>
      </w:pPr>
      <w:r>
        <w:rPr/>
        <w:tab/>
        <w:tab/>
        <w:t>a.  Affiliate abuse in the pipeline industry has been in the spotlight during the past year in part because of a high-profile deal between El Paso and its marketing affiliate, El Paso Merchant Energy (EPME).  In March 2000, EMPE was the highest bidder for and was awarded 1.2 Bcf of capacity on El Paso's pipeline system into California.  Among the allegations in an ongoing proceeding at FERC are that EPME would not have been the highest bidder but for information it obtained by virtue of its affiliation with El Paso.</w:t>
      </w:r>
    </w:p>
    <w:p>
      <w:pPr>
        <w:pStyle w:val="Normal"/>
        <w:rPr/>
      </w:pPr>
      <w:r>
        <w:rPr/>
      </w:r>
    </w:p>
    <w:p>
      <w:pPr>
        <w:pStyle w:val="BodyText"/>
        <w:rPr/>
      </w:pPr>
      <w:r>
        <w:rPr/>
        <w:tab/>
        <w:tab/>
        <w:t>b.  Additionally, Dynegy has been promulgating a theory known as "funny money," which alleges that marketing affiliates will bid above the going market rate for capacity because any  excess, above-market payment will go to the corporate bottom line.  (As Enron stated in its comments, this argument makes no sense because, at least at Enron, each business entity stands alone, and one does not subsidize another.)</w:t>
      </w:r>
    </w:p>
    <w:p>
      <w:pPr>
        <w:pStyle w:val="Normal"/>
        <w:rPr/>
      </w:pPr>
      <w:r>
        <w:rPr/>
      </w:r>
    </w:p>
    <w:p>
      <w:pPr>
        <w:pStyle w:val="BodyText"/>
        <w:rPr/>
      </w:pPr>
      <w:r>
        <w:rPr/>
        <w:tab/>
        <w:tab/>
        <w:t>c.  There have also been allegations of hoarding of capacity by pipelines.  Enron's comment is that this is not necessarily a marketing affiliate issue, as anyone can buy and hoard pipeline capacity.</w:t>
      </w:r>
    </w:p>
    <w:p>
      <w:pPr>
        <w:pStyle w:val="Normal"/>
        <w:rPr/>
      </w:pPr>
      <w:r>
        <w:rPr/>
      </w:r>
    </w:p>
    <w:p>
      <w:pPr>
        <w:pStyle w:val="BodyTextIndent2"/>
        <w:jc w:val="both"/>
        <w:rPr/>
      </w:pPr>
      <w:r>
        <w:rPr/>
        <w:t xml:space="preserve">2.  Enron's position is that the Commission's role is to restore confidence in the market, not to adopt unnecessary rules.  </w:t>
      </w:r>
    </w:p>
    <w:p>
      <w:pPr>
        <w:pStyle w:val="Normal"/>
        <w:ind w:firstLine="720" w:end="0"/>
        <w:rPr/>
      </w:pPr>
      <w:r>
        <w:rPr/>
      </w:r>
    </w:p>
    <w:p>
      <w:pPr>
        <w:pStyle w:val="BodyTextIndent3"/>
        <w:jc w:val="both"/>
        <w:rPr/>
      </w:pPr>
      <w:r>
        <w:rPr/>
        <w:t xml:space="preserve">a.  Marketing affiliates are key players and their participation adds to levels of competition, enhancing markets.  Marketing affiliate rules should not artificially limit where and how marketing affiliates can participate.  </w:t>
      </w:r>
    </w:p>
    <w:p>
      <w:pPr>
        <w:pStyle w:val="Normal"/>
        <w:ind w:firstLine="1440" w:end="0"/>
        <w:rPr/>
      </w:pPr>
      <w:r>
        <w:rPr/>
      </w:r>
    </w:p>
    <w:p>
      <w:pPr>
        <w:pStyle w:val="BodyTextIndent3"/>
        <w:jc w:val="both"/>
        <w:rPr/>
      </w:pPr>
      <w:r>
        <w:rPr/>
        <w:t xml:space="preserve">b.  To the extent affiliate abuse is occurring, it should be eliminated.  However, the Commission must examine whether stricter rules would prevent real affiliate abuse that current rules do not, or whether they would only restrict the activities of some of the more successful participants in the marketplace. </w:t>
      </w:r>
    </w:p>
    <w:p>
      <w:pPr>
        <w:pStyle w:val="Normal"/>
        <w:rPr/>
      </w:pPr>
      <w:r>
        <w:rPr/>
      </w:r>
    </w:p>
    <w:p>
      <w:pPr>
        <w:pStyle w:val="Heading1"/>
        <w:ind w:hanging="0" w:start="0"/>
        <w:rPr/>
      </w:pPr>
      <w:r>
        <w:rPr/>
        <w:t>Possible topics of FERC's inquiry</w:t>
      </w:r>
    </w:p>
    <w:p>
      <w:pPr>
        <w:pStyle w:val="Normal"/>
        <w:rPr/>
      </w:pPr>
      <w:r>
        <w:rPr/>
      </w:r>
    </w:p>
    <w:p>
      <w:pPr>
        <w:pStyle w:val="BodyText"/>
        <w:rPr/>
      </w:pPr>
      <w:r>
        <w:rPr/>
        <w:tab/>
        <w:t>FERC's agenda for July 25 provides no explanation of the Standards of Conduct item.  However, we think that topics of an inquiry might include:</w:t>
      </w:r>
    </w:p>
    <w:p>
      <w:pPr>
        <w:pStyle w:val="Normal"/>
        <w:jc w:val="both"/>
        <w:rPr/>
      </w:pPr>
      <w:r>
        <w:rPr/>
      </w:r>
    </w:p>
    <w:p>
      <w:pPr>
        <w:pStyle w:val="BodyText"/>
        <w:rPr/>
      </w:pPr>
      <w:r>
        <w:rPr/>
        <w:t xml:space="preserve">  </w:t>
      </w:r>
      <w:r>
        <w:rPr/>
        <w:tab/>
        <w:t xml:space="preserve">1.  Redefining "marketing affiliate" to include generation affiliates that might be in a position to receive preferential treatment.  </w:t>
      </w:r>
    </w:p>
    <w:p>
      <w:pPr>
        <w:pStyle w:val="Normal"/>
        <w:rPr/>
      </w:pPr>
      <w:r>
        <w:rPr/>
      </w:r>
    </w:p>
    <w:p>
      <w:pPr>
        <w:pStyle w:val="BodyTextIndent"/>
        <w:jc w:val="start"/>
        <w:rPr/>
      </w:pPr>
      <w:r>
        <w:rPr/>
        <w:t>- Several participants in PL00-1, including Enron, supported this position.</w:t>
      </w:r>
    </w:p>
    <w:p>
      <w:pPr>
        <w:pStyle w:val="Normal"/>
        <w:rPr/>
      </w:pPr>
      <w:r>
        <w:rPr/>
      </w:r>
    </w:p>
    <w:p>
      <w:pPr>
        <w:pStyle w:val="BodyText"/>
        <w:rPr/>
      </w:pPr>
      <w:r>
        <w:rPr/>
        <w:tab/>
        <w:t xml:space="preserve">2.  Whether the rules for gas pipelines should track those applicable to the electric industry.  </w:t>
      </w:r>
    </w:p>
    <w:p>
      <w:pPr>
        <w:pStyle w:val="Normal"/>
        <w:autoSpaceDE w:val="false"/>
        <w:ind w:firstLine="720" w:end="0"/>
        <w:rPr/>
      </w:pPr>
      <w:r>
        <w:rPr/>
      </w:r>
    </w:p>
    <w:p>
      <w:pPr>
        <w:pStyle w:val="BodyTextIndent3"/>
        <w:autoSpaceDE w:val="false"/>
        <w:jc w:val="both"/>
        <w:rPr/>
      </w:pPr>
      <w:r>
        <w:rPr/>
        <w:t xml:space="preserve">a.  Enron's position is that electric rules should not apply to gas pipelines because the structure of the two industries is still fundamentally different.  </w:t>
      </w:r>
    </w:p>
    <w:p>
      <w:pPr>
        <w:pStyle w:val="Normal"/>
        <w:autoSpaceDE w:val="false"/>
        <w:ind w:firstLine="720" w:end="0"/>
        <w:rPr/>
      </w:pPr>
      <w:r>
        <w:rPr/>
      </w:r>
    </w:p>
    <w:p>
      <w:pPr>
        <w:pStyle w:val="Normal"/>
        <w:autoSpaceDE w:val="false"/>
        <w:ind w:firstLine="1440" w:start="720" w:end="0"/>
        <w:jc w:val="both"/>
        <w:rPr/>
      </w:pPr>
      <w:r>
        <w:rPr>
          <w:szCs w:val="20"/>
        </w:rPr>
        <w:t>i.  The pipelines are fully unbundled and out of the merchant function, so many</w:t>
      </w:r>
      <w:r>
        <w:rPr>
          <w:rFonts w:cs="Arial" w:ascii="Arial" w:hAnsi="Arial"/>
          <w:sz w:val="20"/>
          <w:szCs w:val="20"/>
        </w:rPr>
        <w:t xml:space="preserve"> </w:t>
      </w:r>
      <w:r>
        <w:rPr>
          <w:szCs w:val="20"/>
        </w:rPr>
        <w:t xml:space="preserve">"abuses" that could occur on the electric side are removed on the gas side. We have had more than 15 years of open markets on the gas side and the market is much more developed and transparent/liquid. The natural gas markets are working well, even the CA border price developments can be viewed as a successful marketplace, where prices signaled that changes were needed in that market (i.e. more capacity, hedges, etc.)  </w:t>
      </w:r>
    </w:p>
    <w:p>
      <w:pPr>
        <w:pStyle w:val="Normal"/>
        <w:autoSpaceDE w:val="false"/>
        <w:rPr>
          <w:szCs w:val="20"/>
        </w:rPr>
      </w:pPr>
      <w:r>
        <w:rPr>
          <w:szCs w:val="20"/>
        </w:rPr>
      </w:r>
    </w:p>
    <w:p>
      <w:pPr>
        <w:pStyle w:val="Normal"/>
        <w:autoSpaceDE w:val="false"/>
        <w:ind w:firstLine="1440" w:start="720" w:end="0"/>
        <w:jc w:val="both"/>
        <w:rPr>
          <w:szCs w:val="20"/>
        </w:rPr>
      </w:pPr>
      <w:r>
        <w:rPr>
          <w:szCs w:val="20"/>
        </w:rPr>
        <w:t>ii.  The gas market is very liquid, capacity releases have created "competition" for capacity, and market power issues, except in very limited cases (i.e. CA) are not big concerns and can be dealt with on a case by case basis where they are raised.</w:t>
      </w:r>
    </w:p>
    <w:p>
      <w:pPr>
        <w:pStyle w:val="Normal"/>
        <w:autoSpaceDE w:val="false"/>
        <w:ind w:firstLine="1440" w:start="720" w:end="0"/>
        <w:jc w:val="both"/>
        <w:rPr>
          <w:szCs w:val="20"/>
        </w:rPr>
      </w:pPr>
      <w:r>
        <w:rPr>
          <w:szCs w:val="20"/>
        </w:rPr>
      </w:r>
    </w:p>
    <w:p>
      <w:pPr>
        <w:pStyle w:val="Normal"/>
        <w:autoSpaceDE w:val="false"/>
        <w:ind w:firstLine="1440" w:start="720" w:end="0"/>
        <w:rPr/>
      </w:pPr>
      <w:r>
        <w:rPr>
          <w:szCs w:val="20"/>
        </w:rPr>
        <w:t>iii.  But for the exception on first sales by pipelines, LDCs and their affiliates, all sales of gas</w:t>
      </w:r>
      <w:r>
        <w:rPr>
          <w:rFonts w:cs="Arial" w:ascii="Arial" w:hAnsi="Arial"/>
          <w:color w:val="0000FF"/>
          <w:sz w:val="20"/>
          <w:szCs w:val="20"/>
        </w:rPr>
        <w:t xml:space="preserve"> </w:t>
      </w:r>
      <w:r>
        <w:rPr>
          <w:szCs w:val="20"/>
        </w:rPr>
        <w:t>for resale are removed from federal regulation (price and certificate), unlike the electric side.</w:t>
      </w:r>
    </w:p>
    <w:p>
      <w:pPr>
        <w:pStyle w:val="Normal"/>
        <w:autoSpaceDE w:val="false"/>
        <w:ind w:firstLine="1440" w:start="720" w:end="0"/>
        <w:jc w:val="both"/>
        <w:rPr>
          <w:szCs w:val="20"/>
        </w:rPr>
      </w:pPr>
      <w:r>
        <w:rPr>
          <w:szCs w:val="20"/>
        </w:rPr>
      </w:r>
    </w:p>
    <w:p>
      <w:pPr>
        <w:pStyle w:val="Normal"/>
        <w:rPr>
          <w:szCs w:val="20"/>
        </w:rPr>
      </w:pPr>
      <w:r>
        <w:rPr>
          <w:szCs w:val="20"/>
        </w:rPr>
      </w:r>
    </w:p>
    <w:p>
      <w:pPr>
        <w:pStyle w:val="Normal"/>
        <w:rPr/>
      </w:pPr>
      <w:r>
        <w:rPr/>
        <w:tab/>
        <w:tab/>
        <w:t>b.  Some important differences between current pipeline rules and current electric rules:</w:t>
      </w:r>
    </w:p>
    <w:p>
      <w:pPr>
        <w:pStyle w:val="Normal"/>
        <w:rPr/>
      </w:pPr>
      <w:r>
        <w:rPr/>
      </w:r>
    </w:p>
    <w:p>
      <w:pPr>
        <w:pStyle w:val="Normal"/>
        <w:ind w:firstLine="1440" w:start="720" w:end="0"/>
        <w:rPr/>
      </w:pPr>
      <w:r>
        <w:rPr/>
        <w:t>i.  Electric rules strictly require posting of offers of discounts to affiliates prior to a deal being made, giving all potential customers adequate opportunity to receive the same discount,  while pipeline rules are more flexible:  simply require that such discounts be "made contemporaneously available" to "similarly situated" shippers.</w:t>
      </w:r>
    </w:p>
    <w:p>
      <w:pPr>
        <w:pStyle w:val="Normal"/>
        <w:rPr/>
      </w:pPr>
      <w:r>
        <w:rPr/>
        <w:tab/>
      </w:r>
    </w:p>
    <w:p>
      <w:pPr>
        <w:pStyle w:val="Normal"/>
        <w:ind w:hanging="720" w:start="720" w:end="0"/>
        <w:rPr/>
      </w:pPr>
      <w:r>
        <w:rPr/>
        <w:tab/>
        <w:tab/>
        <w:tab/>
        <w:t>ii.  Under the electric rules, notices of employee transfers between affiliates must be reported on OASIS.  There is currently no such public disclosure requirement for pipelines.</w:t>
      </w:r>
    </w:p>
    <w:p>
      <w:pPr>
        <w:pStyle w:val="Normal"/>
        <w:rPr/>
      </w:pPr>
      <w:r>
        <w:rPr/>
      </w:r>
    </w:p>
    <w:p>
      <w:pPr>
        <w:pStyle w:val="Normal"/>
        <w:ind w:hanging="720" w:start="720" w:end="0"/>
        <w:rPr/>
      </w:pPr>
      <w:r>
        <w:rPr/>
        <w:tab/>
        <w:tab/>
        <w:tab/>
        <w:t>iii.  Tariff and reporting requirements:  FERC could possibly be looking into requiring gas marketing affiliates to (A) apply for authority to charge market based rates and (B) provide quarterly and annual transactional reports similar to those required of power marketers.  However, the NGPA seems to cut against FERC having such jurisdiction.</w:t>
      </w:r>
    </w:p>
    <w:p>
      <w:pPr>
        <w:pStyle w:val="Normal"/>
        <w:rPr/>
      </w:pPr>
      <w:r>
        <w:rPr/>
      </w:r>
    </w:p>
    <w:p>
      <w:pPr>
        <w:pStyle w:val="Normal"/>
        <w:rPr/>
      </w:pPr>
      <w:r>
        <w:rPr/>
        <w:tab/>
        <w:t xml:space="preserve">3.  Should FERC take more drastic measures, such as requiring divestiture of marketing affiliates from pipeline companies, or prohibiting pipelines from entering into any transactions with their marketing affiliates?  </w:t>
      </w:r>
    </w:p>
    <w:p>
      <w:pPr>
        <w:pStyle w:val="Normal"/>
        <w:rPr/>
      </w:pPr>
      <w:r>
        <w:rPr/>
      </w:r>
    </w:p>
    <w:p>
      <w:pPr>
        <w:pStyle w:val="BodyTextIndent3"/>
        <w:rPr/>
      </w:pPr>
      <w:r>
        <w:rPr/>
        <w:t xml:space="preserve">a.  Our position is that a rule that prohibits all behavior of a certain type would inevitably eliminate some beneficial activities along with the unlawful ones.  </w:t>
      </w:r>
    </w:p>
    <w:p>
      <w:pPr>
        <w:pStyle w:val="Normal"/>
        <w:ind w:firstLine="720" w:end="0"/>
        <w:rPr/>
      </w:pPr>
      <w:r>
        <w:rPr/>
      </w:r>
    </w:p>
    <w:p>
      <w:pPr>
        <w:pStyle w:val="Normal"/>
        <w:ind w:firstLine="1440" w:end="0"/>
        <w:rPr/>
      </w:pPr>
      <w:r>
        <w:rPr/>
        <w:t>b.  There is some question whether FERC would have the authority to require divestiture.</w:t>
      </w:r>
    </w:p>
    <w:p>
      <w:pPr>
        <w:pStyle w:val="Normal"/>
        <w:rPr/>
      </w:pPr>
      <w:r>
        <w:rPr/>
      </w:r>
    </w:p>
    <w:p>
      <w:pPr>
        <w:pStyle w:val="Normal"/>
        <w:rPr>
          <w:i/>
          <w:i/>
          <w:iCs/>
        </w:rPr>
      </w:pPr>
      <w:r>
        <w:rPr>
          <w:i/>
          <w:iCs/>
        </w:rPr>
      </w:r>
    </w:p>
    <w:p>
      <w:pPr>
        <w:pStyle w:val="Normal"/>
        <w:rPr>
          <w:i/>
          <w:i/>
          <w:iCs/>
        </w:rPr>
      </w:pPr>
      <w:r>
        <w:rPr>
          <w:i/>
          <w:iCs/>
        </w:rPr>
      </w:r>
    </w:p>
    <w:p>
      <w:pPr>
        <w:pStyle w:val="Norma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2001-07-18T19:19:00Z</dcterms:created>
  <dc:creator>sscott3</dc:creator>
  <dc:description/>
  <dc:language>en-CA</dc:language>
  <cp:lastModifiedBy>sscott3</cp:lastModifiedBy>
  <cp:lastPrinted>2001-07-19T12:49:00Z</cp:lastPrinted>
  <dcterms:modified xsi:type="dcterms:W3CDTF">2001-07-19T16:52:00Z</dcterms:modified>
  <cp:revision>13</cp:revision>
  <dc:subject/>
  <dc:title>Procedural background</dc:title>
</cp:coreProperties>
</file>