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rPr>
          <w:rFonts w:ascii="Arial" w:hAnsi="Arial" w:cs="Arial"/>
          <w:sz w:val="24"/>
        </w:rPr>
      </w:pPr>
      <w:r>
        <w:rPr>
          <w:rFonts w:cs="Arial" w:ascii="Arial" w:hAnsi="Arial"/>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jc w:val="center"/>
        <w:rPr>
          <w:rFonts w:ascii="Arial" w:hAnsi="Arial" w:cs="Arial"/>
          <w:i/>
          <w:i/>
          <w:sz w:val="24"/>
        </w:rPr>
      </w:pPr>
      <w:r>
        <w:rPr>
          <w:rFonts w:cs="Arial" w:ascii="Arial" w:hAnsi="Arial"/>
          <w:i/>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rPr>
          <w:rFonts w:ascii="Arial" w:hAnsi="Arial" w:cs="Arial"/>
          <w:i/>
          <w:i/>
          <w:sz w:val="24"/>
        </w:rPr>
      </w:pPr>
      <w:r>
        <w:rPr>
          <w:rFonts w:cs="Arial" w:ascii="Arial" w:hAnsi="Arial"/>
          <w:i/>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rPr>
          <w:rFonts w:ascii="Arial" w:hAnsi="Arial" w:cs="Arial"/>
          <w:sz w:val="24"/>
        </w:rPr>
      </w:pPr>
      <w:r>
        <w:rPr>
          <w:rFonts w:cs="Arial" w:ascii="Arial" w:hAnsi="Arial"/>
          <w:sz w:val="24"/>
        </w:rPr>
      </w:r>
    </w:p>
    <w:p>
      <w:pPr>
        <w:pStyle w:val="Heading3"/>
        <w:jc w:val="center"/>
        <w:rPr>
          <w:rFonts w:cs="Arial"/>
          <w:sz w:val="24"/>
        </w:rPr>
      </w:pPr>
      <w:r>
        <w:rPr>
          <w:rFonts w:cs="Arial"/>
          <w:sz w:val="24"/>
        </w:rPr>
        <w:t>Commonwealth of Massachusetts</w:t>
      </w:r>
    </w:p>
    <w:p>
      <w:pPr>
        <w:pStyle w:val="Heading5"/>
        <w:rPr>
          <w:rFonts w:cs="Arial"/>
        </w:rPr>
      </w:pPr>
      <w:r>
        <w:rPr>
          <w:rFonts w:cs="Arial"/>
        </w:rPr>
        <w:t>Department of Telecommunications and Energy</w:t>
      </w:r>
    </w:p>
    <w:p>
      <w:pPr>
        <w:pStyle w:val="Heading3"/>
        <w:rPr>
          <w:rFonts w:cs="Arial"/>
          <w:sz w:val="24"/>
        </w:rPr>
      </w:pPr>
      <w:r>
        <w:rPr>
          <w:rFonts w:cs="Arial"/>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rPr>
          <w:rFonts w:ascii="Arial" w:hAnsi="Arial" w:cs="Arial"/>
          <w:sz w:val="24"/>
        </w:rPr>
      </w:pPr>
      <w:r>
        <w:rPr>
          <w:rFonts w:cs="Arial" w:ascii="Arial" w:hAnsi="Arial"/>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rPr>
          <w:rFonts w:ascii="Arial" w:hAnsi="Arial" w:cs="Arial"/>
          <w:sz w:val="24"/>
        </w:rPr>
      </w:pPr>
      <w:r>
        <w:rPr>
          <w:rFonts w:cs="Arial" w:ascii="Arial" w:hAnsi="Arial"/>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rPr>
          <w:rFonts w:ascii="Arial" w:hAnsi="Arial" w:cs="Arial"/>
          <w:sz w:val="24"/>
        </w:rPr>
      </w:pPr>
      <w:r>
        <w:rPr>
          <w:rFonts w:cs="Arial" w:ascii="Arial" w:hAnsi="Arial"/>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Investigation by the Department of Telecommunications     }</w:t>
      </w:r>
    </w:p>
    <w:p>
      <w:pPr>
        <w:pStyle w:val="Normal"/>
        <w:rPr>
          <w:rFonts w:ascii="Arial" w:hAnsi="Arial" w:cs="Arial"/>
          <w:sz w:val="24"/>
        </w:rPr>
      </w:pPr>
      <w:r>
        <w:rPr>
          <w:rFonts w:cs="Arial" w:ascii="Arial" w:hAnsi="Arial"/>
          <w:sz w:val="24"/>
        </w:rPr>
        <w:t>And Energy on its own Motion to Establish Guidelines for   }</w:t>
        <w:tab/>
        <w:tab/>
        <w:t xml:space="preserve">D.T.E 99-84 </w:t>
      </w:r>
    </w:p>
    <w:p>
      <w:pPr>
        <w:pStyle w:val="Normal"/>
        <w:rPr>
          <w:rFonts w:ascii="Arial" w:hAnsi="Arial" w:cs="Arial"/>
          <w:sz w:val="24"/>
        </w:rPr>
      </w:pPr>
      <w:r>
        <w:rPr>
          <w:rFonts w:cs="Arial" w:ascii="Arial" w:hAnsi="Arial"/>
          <w:sz w:val="24"/>
        </w:rPr>
        <w:t>Service Quality Standards for Electric Distribution               }</w:t>
      </w:r>
    </w:p>
    <w:p>
      <w:pPr>
        <w:pStyle w:val="Normal"/>
        <w:rPr>
          <w:rFonts w:ascii="Arial" w:hAnsi="Arial" w:cs="Arial"/>
          <w:sz w:val="24"/>
        </w:rPr>
      </w:pPr>
      <w:r>
        <w:rPr>
          <w:rFonts w:cs="Arial" w:ascii="Arial" w:hAnsi="Arial"/>
          <w:sz w:val="24"/>
        </w:rPr>
        <w:t>Companies and Local Gas Distribution Companies             }</w:t>
      </w:r>
    </w:p>
    <w:p>
      <w:pPr>
        <w:pStyle w:val="Normal"/>
        <w:rPr>
          <w:rFonts w:ascii="Arial" w:hAnsi="Arial" w:cs="Arial"/>
          <w:sz w:val="24"/>
        </w:rPr>
      </w:pPr>
      <w:r>
        <w:rPr>
          <w:rFonts w:cs="Arial" w:ascii="Arial" w:hAnsi="Arial"/>
          <w:sz w:val="24"/>
        </w:rPr>
        <w:t>Pursuant to G.L. c.164 SS 1 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jc w:val="center"/>
        <w:rPr>
          <w:rFonts w:ascii="Arial" w:hAnsi="Arial" w:cs="Arial"/>
          <w:sz w:val="24"/>
        </w:rPr>
      </w:pPr>
      <w:r>
        <w:rPr>
          <w:rFonts w:cs="Arial" w:ascii="Arial" w:hAnsi="Arial"/>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jc w:val="center"/>
        <w:rPr>
          <w:rFonts w:ascii="Arial" w:hAnsi="Arial" w:cs="Arial"/>
          <w:sz w:val="24"/>
        </w:rPr>
      </w:pPr>
      <w:r>
        <w:rPr>
          <w:rFonts w:cs="Arial" w:ascii="Arial" w:hAnsi="Arial"/>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jc w:val="center"/>
        <w:rPr>
          <w:rFonts w:ascii="Arial" w:hAnsi="Arial" w:cs="Arial"/>
          <w:sz w:val="24"/>
        </w:rPr>
      </w:pPr>
      <w:r>
        <w:rPr>
          <w:rFonts w:cs="Arial" w:ascii="Arial" w:hAnsi="Arial"/>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jc w:val="center"/>
        <w:rPr>
          <w:rFonts w:ascii="Arial" w:hAnsi="Arial" w:cs="Arial"/>
          <w:sz w:val="24"/>
        </w:rPr>
      </w:pPr>
      <w:r>
        <w:rPr>
          <w:rFonts w:cs="Arial" w:ascii="Arial" w:hAnsi="Arial"/>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jc w:val="center"/>
        <w:rPr>
          <w:rFonts w:ascii="Arial" w:hAnsi="Arial" w:cs="Arial"/>
          <w:sz w:val="24"/>
        </w:rPr>
      </w:pPr>
      <w:r>
        <w:rPr>
          <w:rFonts w:cs="Arial" w:ascii="Arial" w:hAnsi="Arial"/>
          <w:sz w:val="24"/>
        </w:rPr>
        <w:t>Initial Comments of the Retail Market Participants</w:t>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jc w:val="center"/>
        <w:rPr>
          <w:rFonts w:ascii="Arial" w:hAnsi="Arial" w:cs="Arial"/>
          <w:sz w:val="24"/>
        </w:rPr>
      </w:pPr>
      <w:r>
        <w:rPr>
          <w:rFonts w:cs="Arial" w:ascii="Arial" w:hAnsi="Arial"/>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jc w:val="center"/>
        <w:rPr>
          <w:rFonts w:ascii="Arial" w:hAnsi="Arial" w:cs="Arial"/>
          <w:sz w:val="24"/>
        </w:rPr>
      </w:pPr>
      <w:r>
        <w:rPr>
          <w:rFonts w:cs="Arial" w:ascii="Arial" w:hAnsi="Arial"/>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jc w:val="center"/>
        <w:rPr>
          <w:rFonts w:ascii="Arial" w:hAnsi="Arial" w:cs="Arial"/>
          <w:sz w:val="24"/>
        </w:rPr>
      </w:pPr>
      <w:r>
        <w:rPr>
          <w:rFonts w:cs="Arial" w:ascii="Arial" w:hAnsi="Arial"/>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jc w:val="center"/>
        <w:rPr>
          <w:rFonts w:ascii="Arial" w:hAnsi="Arial" w:cs="Arial"/>
          <w:sz w:val="24"/>
        </w:rPr>
      </w:pPr>
      <w:r>
        <w:rPr>
          <w:rFonts w:cs="Arial" w:ascii="Arial" w:hAnsi="Arial"/>
          <w:sz w:val="24"/>
        </w:rPr>
      </w:r>
    </w:p>
    <w:p>
      <w:pPr>
        <w:pStyle w:val="Heading2"/>
        <w:rPr>
          <w:rFonts w:ascii="Arial" w:hAnsi="Arial" w:cs="Arial"/>
          <w:sz w:val="24"/>
        </w:rPr>
      </w:pPr>
      <w:r>
        <w:rPr>
          <w:rFonts w:cs="Arial"/>
          <w:sz w:val="24"/>
        </w:rPr>
      </w:r>
    </w:p>
    <w:p>
      <w:pPr>
        <w:sectPr>
          <w:footerReference w:type="default" r:id="rId2"/>
          <w:footerReference w:type="first" r:id="rId3"/>
          <w:type w:val="nextPage"/>
          <w:pgSz w:w="12240" w:h="15840"/>
          <w:pgMar w:left="1800" w:right="1800" w:gutter="0" w:header="0" w:top="1440" w:footer="720" w:bottom="1440"/>
          <w:pgNumType w:start="2" w:fmt="decimal"/>
          <w:formProt w:val="false"/>
          <w:titlePg/>
          <w:textDirection w:val="lrTb"/>
          <w:docGrid w:type="default" w:linePitch="360" w:charSpace="0"/>
        </w:sectPr>
        <w:pStyle w:val="Heading2"/>
        <w:rPr>
          <w:rFonts w:cs="Arial"/>
          <w:sz w:val="24"/>
        </w:rPr>
      </w:pPr>
      <w:r>
        <w:rPr>
          <w:rFonts w:cs="Arial"/>
          <w:sz w:val="24"/>
        </w:rPr>
        <w:t>December 3, 1999</w:t>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rPr>
          <w:rFonts w:ascii="Arial" w:hAnsi="Arial" w:cs="Arial"/>
          <w:sz w:val="24"/>
        </w:rPr>
      </w:pPr>
      <w:r>
        <w:rPr>
          <w:rFonts w:cs="Arial" w:ascii="Arial" w:hAnsi="Arial"/>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360"/>
        <w:jc w:val="center"/>
        <w:rPr>
          <w:rFonts w:ascii="Arial" w:hAnsi="Arial" w:cs="Arial"/>
          <w:i/>
          <w:i/>
          <w:sz w:val="24"/>
        </w:rPr>
      </w:pPr>
      <w:r>
        <w:rPr>
          <w:rFonts w:cs="Arial" w:ascii="Arial" w:hAnsi="Arial"/>
          <w:i/>
          <w:sz w:val="24"/>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360"/>
        <w:rPr>
          <w:rFonts w:ascii="Arial" w:hAnsi="Arial" w:cs="Arial"/>
          <w:i/>
          <w:i/>
          <w:sz w:val="24"/>
          <w:u w:val="single"/>
        </w:rPr>
      </w:pPr>
      <w:r>
        <w:rPr>
          <w:rFonts w:cs="Arial" w:ascii="Arial" w:hAnsi="Arial"/>
          <w:sz w:val="24"/>
          <w:u w:val="single"/>
        </w:rPr>
        <w:t>I</w:t>
      </w:r>
      <w:r>
        <w:rPr>
          <w:rFonts w:cs="Arial" w:ascii="Arial" w:hAnsi="Arial"/>
          <w:i/>
          <w:sz w:val="24"/>
          <w:u w:val="single"/>
        </w:rPr>
        <w:t>.</w:t>
      </w:r>
      <w:r>
        <w:rPr>
          <w:rFonts w:cs="Arial" w:ascii="Arial" w:hAnsi="Arial"/>
          <w:sz w:val="24"/>
          <w:u w:val="single"/>
        </w:rPr>
        <w:t xml:space="preserve">  Introduction</w:t>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360"/>
        <w:rPr>
          <w:rFonts w:ascii="Arial" w:hAnsi="Arial" w:cs="Arial"/>
          <w:i/>
          <w:i/>
          <w:sz w:val="24"/>
          <w:u w:val="single"/>
        </w:rPr>
      </w:pPr>
      <w:r>
        <w:rPr>
          <w:rFonts w:cs="Arial" w:ascii="Arial" w:hAnsi="Arial"/>
          <w:i/>
          <w:sz w:val="24"/>
          <w:u w:val="single"/>
        </w:rPr>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pacing w:lineRule="auto" w:line="360"/>
        <w:ind w:end="360"/>
        <w:rPr>
          <w:rFonts w:ascii="Arial" w:hAnsi="Arial" w:cs="Arial"/>
          <w:sz w:val="24"/>
        </w:rPr>
      </w:pPr>
      <w:r>
        <w:rPr>
          <w:rFonts w:cs="Arial" w:ascii="Arial" w:hAnsi="Arial"/>
          <w:sz w:val="24"/>
        </w:rPr>
        <w:tab/>
        <w:t xml:space="preserve">EnergyEXPRESS, Enron Energy Services, GreenMountain.com, National Energy Choice, New Energy, PG&amp;E Energy Services Company, Statoil Energy, and Utility.com, (collectively, the “Retail Market Participants”) </w:t>
      </w:r>
      <w:r>
        <w:rPr>
          <w:rFonts w:cs="Arial" w:ascii="Arial" w:hAnsi="Arial"/>
          <w:spacing w:val="3"/>
          <w:sz w:val="24"/>
        </w:rPr>
        <w:t xml:space="preserve">appreciate the opportunity to provide comments to the </w:t>
      </w:r>
      <w:r>
        <w:rPr>
          <w:rFonts w:cs="Arial" w:ascii="Arial" w:hAnsi="Arial"/>
          <w:spacing w:val="3"/>
          <w:kern w:val="2"/>
          <w:sz w:val="24"/>
        </w:rPr>
        <w:t xml:space="preserve">Massachusetts Department of Telecommunications and Energy (“DTE”) concerning the performance-based regulation of natural gas and electric distribution companies. </w:t>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360"/>
        <w:rPr>
          <w:rFonts w:ascii="Arial" w:hAnsi="Arial" w:cs="Arial"/>
          <w:sz w:val="24"/>
        </w:rPr>
      </w:pPr>
      <w:r>
        <w:rPr>
          <w:rFonts w:cs="Arial" w:ascii="Arial" w:hAnsi="Arial"/>
          <w:sz w:val="24"/>
        </w:rPr>
      </w:r>
    </w:p>
    <w:p>
      <w:pPr>
        <w:pStyle w:val="BodyText3"/>
        <w:spacing w:lineRule="auto" w:line="360"/>
        <w:jc w:val="start"/>
        <w:rPr>
          <w:rFonts w:cs="Arial"/>
        </w:rPr>
      </w:pPr>
      <w:r>
        <w:rPr>
          <w:rFonts w:cs="Arial"/>
        </w:rPr>
        <w:tab/>
        <w:t>The Retail Market Participants’ primary interest in this proceeding is to encourage the recognition of retail marketers as a special subset of customers of Local Distribution Companies and Electric Distribution Companies (hereinafter “utilities”).   In crafting performance-based regulations for utilities, we urge the Department to recognize that the service utilities render to marketers is an important factor in the satisfaction level of the ultimate consumer of electricity and natural gas.  These comments are intended to assist the Department in establishing policy and procedures to this end.</w:t>
      </w:r>
    </w:p>
    <w:p>
      <w:pPr>
        <w:pStyle w:val="Normal"/>
        <w:rPr>
          <w:rFonts w:ascii="Arial" w:hAnsi="Arial" w:cs="Arial"/>
          <w:i/>
          <w:i/>
          <w:sz w:val="24"/>
        </w:rPr>
      </w:pPr>
      <w:r>
        <w:rPr>
          <w:rFonts w:cs="Arial" w:ascii="Arial" w:hAnsi="Arial"/>
          <w:i/>
          <w:sz w:val="24"/>
        </w:rPr>
      </w:r>
    </w:p>
    <w:p>
      <w:pPr>
        <w:pStyle w:val="Heading1"/>
        <w:ind w:hanging="0" w:start="0"/>
        <w:rPr>
          <w:rFonts w:ascii="Arial" w:hAnsi="Arial" w:cs="Arial"/>
          <w:i w:val="false"/>
          <w:i w:val="false"/>
          <w:sz w:val="24"/>
        </w:rPr>
      </w:pPr>
      <w:r>
        <w:rPr>
          <w:rFonts w:cs="Arial"/>
          <w:i w:val="false"/>
          <w:sz w:val="24"/>
        </w:rPr>
      </w:r>
    </w:p>
    <w:p>
      <w:pPr>
        <w:pStyle w:val="Heading1"/>
        <w:ind w:hanging="0" w:start="0"/>
        <w:rPr>
          <w:rFonts w:cs="Arial"/>
          <w:i w:val="false"/>
          <w:i w:val="false"/>
          <w:u w:val="single"/>
        </w:rPr>
      </w:pPr>
      <w:r>
        <w:rPr>
          <w:rFonts w:cs="Arial"/>
          <w:i w:val="false"/>
          <w:u w:val="single"/>
        </w:rPr>
        <w:t>II. Comments</w:t>
      </w:r>
    </w:p>
    <w:p>
      <w:pPr>
        <w:pStyle w:val="Heading1"/>
        <w:ind w:hanging="0" w:start="0"/>
        <w:rPr>
          <w:rFonts w:cs="Arial"/>
          <w:i w:val="false"/>
          <w:i w:val="false"/>
          <w:u w:val="single"/>
        </w:rPr>
      </w:pPr>
      <w:r>
        <w:rPr>
          <w:rFonts w:cs="Arial"/>
          <w:i w:val="false"/>
          <w:u w:val="single"/>
        </w:rPr>
      </w:r>
    </w:p>
    <w:p>
      <w:pPr>
        <w:pStyle w:val="Normal"/>
        <w:rPr>
          <w:rFonts w:ascii="Arial" w:hAnsi="Arial" w:cs="Arial"/>
          <w:i/>
          <w:i/>
          <w:sz w:val="24"/>
        </w:rPr>
      </w:pPr>
      <w:r>
        <w:rPr>
          <w:rFonts w:cs="Arial" w:ascii="Arial" w:hAnsi="Arial"/>
          <w:i/>
          <w:sz w:val="24"/>
        </w:rPr>
      </w:r>
    </w:p>
    <w:p>
      <w:pPr>
        <w:pStyle w:val="Normal"/>
        <w:rPr>
          <w:rFonts w:ascii="Arial" w:hAnsi="Arial" w:cs="Arial"/>
          <w:sz w:val="24"/>
        </w:rPr>
      </w:pPr>
      <w:r>
        <w:rPr>
          <w:rFonts w:cs="Arial" w:ascii="Arial" w:hAnsi="Arial"/>
          <w:sz w:val="24"/>
        </w:rPr>
        <w:t>A.</w:t>
        <w:tab/>
        <w:t>Performance Measures</w:t>
      </w:r>
    </w:p>
    <w:p>
      <w:pPr>
        <w:pStyle w:val="Normal"/>
        <w:rPr>
          <w:rFonts w:ascii="Arial" w:hAnsi="Arial" w:cs="Arial"/>
          <w:sz w:val="24"/>
        </w:rPr>
      </w:pPr>
      <w:r>
        <w:rPr>
          <w:rFonts w:cs="Arial" w:ascii="Arial" w:hAnsi="Arial"/>
          <w:sz w:val="24"/>
        </w:rPr>
      </w:r>
    </w:p>
    <w:p>
      <w:pPr>
        <w:pStyle w:val="BodyText3"/>
        <w:spacing w:lineRule="auto" w:line="360"/>
        <w:jc w:val="start"/>
        <w:rPr/>
      </w:pPr>
      <w:r>
        <w:rPr>
          <w:rFonts w:cs="Arial"/>
          <w:iCs/>
          <w:color w:val="000000"/>
        </w:rPr>
        <w:tab/>
        <w:t>In its Notice of Inquiry/Generic Proceeding (NOI) on Performance-</w:t>
      </w:r>
      <w:r>
        <w:rPr>
          <w:rFonts w:cs="Arial"/>
          <w:iCs/>
        </w:rPr>
        <w:t xml:space="preserve">Based Regulation (PBR), the Department asks for comments on the performance measures that should be included in a service quality plan.  For a gas company, the Department has divided performance measures into three categories: (1) safety; (2) customer service; and (3) billing.  </w:t>
      </w:r>
      <w:r>
        <w:rPr>
          <w:rFonts w:cs="Arial"/>
          <w:iCs/>
          <w:u w:val="single"/>
        </w:rPr>
        <w:t>Boston Gas Company</w:t>
      </w:r>
      <w:r>
        <w:rPr>
          <w:rFonts w:cs="Arial"/>
          <w:iCs/>
        </w:rPr>
        <w:t xml:space="preserve">, D.P.U. 96-50 (Phase I) (1996).  For an electric company, the Department has divided performance measures into four categories – the three above plus system reliability.  </w:t>
      </w:r>
      <w:r>
        <w:rPr>
          <w:rFonts w:cs="Arial"/>
          <w:iCs/>
          <w:u w:val="single"/>
        </w:rPr>
        <w:t>Boston Edison Company</w:t>
      </w:r>
      <w:r>
        <w:rPr>
          <w:rFonts w:cs="Arial"/>
          <w:iCs/>
        </w:rPr>
        <w:t xml:space="preserve">, D.T.E. 99-19 (1999).  The Retail Market Participants believe that these performance measures form a good starting point.  </w:t>
      </w:r>
    </w:p>
    <w:p>
      <w:pPr>
        <w:pStyle w:val="Heading1"/>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ind w:hanging="0" w:start="0"/>
        <w:rPr>
          <w:rFonts w:cs="Arial"/>
          <w:i w:val="false"/>
          <w:i w:val="false"/>
          <w:iCs/>
        </w:rPr>
      </w:pPr>
      <w:r>
        <w:rPr>
          <w:rFonts w:cs="Arial"/>
          <w:i w:val="false"/>
          <w:iCs/>
        </w:rPr>
      </w:r>
    </w:p>
    <w:p>
      <w:pPr>
        <w:pStyle w:val="Heading1"/>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ind w:hanging="0" w:start="0"/>
        <w:rPr>
          <w:rFonts w:cs="Arial"/>
          <w:i w:val="false"/>
          <w:i w:val="false"/>
        </w:rPr>
      </w:pPr>
      <w:r>
        <w:rPr>
          <w:rFonts w:cs="Arial"/>
          <w:i w:val="false"/>
        </w:rPr>
        <w:tab/>
        <w:t xml:space="preserve">However, we urge the Department to acknowledge that retail marketers of electricity and natural gas are a new and growing customer base of these utilities.  As noted in a study prepared for the National Association of Regulatory Utility Commissioners (NARUC): </w:t>
      </w:r>
    </w:p>
    <w:p>
      <w:pPr>
        <w:pStyle w:val="Heading1"/>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ind w:hanging="0" w:start="0"/>
        <w:rPr>
          <w:rFonts w:cs="Arial"/>
          <w:i w:val="false"/>
          <w:i w:val="false"/>
        </w:rPr>
      </w:pPr>
      <w:r>
        <w:rPr>
          <w:rFonts w:cs="Arial"/>
          <w:i w:val="false"/>
        </w:rPr>
      </w:r>
    </w:p>
    <w:p>
      <w:pPr>
        <w:pStyle w:val="Heading1"/>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ind w:hanging="0" w:start="720" w:end="720"/>
        <w:rPr>
          <w:rFonts w:cs="Arial"/>
          <w:i w:val="false"/>
          <w:i w:val="false"/>
        </w:rPr>
      </w:pPr>
      <w:r>
        <w:rPr>
          <w:rFonts w:cs="Arial"/>
          <w:i w:val="false"/>
        </w:rPr>
        <w:t>“</w:t>
      </w:r>
      <w:r>
        <w:rPr>
          <w:rFonts w:cs="Arial"/>
          <w:i w:val="false"/>
        </w:rPr>
        <w:t>[D]istribution utilities in a competitive environment will also be called on to serve energy service providers, conservation suppliers, marketers, brokers, aggregators, metering companies, billing entities, energy generators, and other wholesalers. Service quality PBR can monitor performance for these customers as well as for retail customers.”</w:t>
      </w:r>
      <w:r>
        <w:rPr>
          <w:rStyle w:val="FootnoteCharacters"/>
          <w:rStyle w:val="FootnoteReference"/>
          <w:rFonts w:cs="Arial"/>
          <w:i/>
        </w:rPr>
        <w:footnoteReference w:id="2"/>
      </w:r>
    </w:p>
    <w:p>
      <w:pPr>
        <w:pStyle w:val="Normal"/>
        <w:spacing w:lineRule="auto" w:line="360"/>
        <w:rPr>
          <w:rFonts w:ascii="Arial" w:hAnsi="Arial" w:cs="Arial"/>
          <w:i/>
          <w:i/>
          <w:sz w:val="24"/>
        </w:rPr>
      </w:pPr>
      <w:r>
        <w:rPr>
          <w:rFonts w:cs="Arial" w:ascii="Arial" w:hAnsi="Arial"/>
          <w:i/>
          <w:sz w:val="24"/>
        </w:rPr>
      </w:r>
    </w:p>
    <w:p>
      <w:pPr>
        <w:pStyle w:val="Heading1"/>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ind w:hanging="0" w:start="0"/>
        <w:rPr/>
      </w:pPr>
      <w:r>
        <w:rPr>
          <w:rFonts w:cs="Arial"/>
          <w:i w:val="false"/>
        </w:rPr>
        <w:tab/>
        <w:t xml:space="preserve">If the Department determines that utilities should be rewarded and/or penalized based on how well the companies serve their retail customers, the Department must also incorporate benchmarks for utility service to marketers.  We urge this distinction in order that quality of service to </w:t>
      </w:r>
      <w:r>
        <w:rPr>
          <w:rFonts w:cs="Arial"/>
        </w:rPr>
        <w:t>all</w:t>
      </w:r>
      <w:r>
        <w:rPr>
          <w:rFonts w:cs="Arial"/>
          <w:i w:val="false"/>
        </w:rPr>
        <w:t xml:space="preserve"> customers is measured.  If the quality of service to marketers is not addressed, the Department will have failed to address the needs of marketers’ customers.  A utility could score well on all of the NOI’s proposed benchmarks, and yet not have provided adequate customer service to a large proportion of its customers. </w:t>
      </w:r>
    </w:p>
    <w:p>
      <w:pPr>
        <w:pStyle w:val="Heading1"/>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ind w:hanging="0" w:start="0"/>
        <w:rPr>
          <w:rFonts w:cs="Arial"/>
          <w:i w:val="false"/>
          <w:i w:val="false"/>
        </w:rPr>
      </w:pPr>
      <w:r>
        <w:rPr>
          <w:rFonts w:cs="Arial"/>
          <w:i w:val="false"/>
        </w:rPr>
      </w:r>
    </w:p>
    <w:p>
      <w:pPr>
        <w:pStyle w:val="Heading1"/>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ind w:hanging="0" w:start="0"/>
        <w:rPr>
          <w:rFonts w:cs="Arial"/>
          <w:i w:val="false"/>
          <w:i w:val="false"/>
        </w:rPr>
      </w:pPr>
      <w:r>
        <w:rPr>
          <w:rFonts w:cs="Arial"/>
          <w:i w:val="false"/>
        </w:rPr>
        <w:tab/>
        <w:t>For example, the Department notes that one feature of Boston Gas’ PBR mechanism involved measuring adjustments made to customers’ bills.  In today’s competitive market, many customers receive two bills – one each from the utility and one from the marketer.  To the extent there are adjustments made to bills for transportation, the end result may be customer perception that transportation service is fraught with errors.  If the problem is large enough, customers may migrate back to sales service, thus making the goal of robustly competitive markets for natural gas and electricity difficult if not impossible to achieve.</w:t>
      </w:r>
    </w:p>
    <w:p>
      <w:pPr>
        <w:pStyle w:val="Normal"/>
        <w:spacing w:lineRule="auto" w:line="360"/>
        <w:rPr>
          <w:rFonts w:ascii="Arial" w:hAnsi="Arial" w:cs="Arial"/>
          <w:i/>
          <w:i/>
          <w:sz w:val="24"/>
        </w:rPr>
      </w:pPr>
      <w:r>
        <w:rPr>
          <w:rFonts w:cs="Arial" w:ascii="Arial" w:hAnsi="Arial"/>
          <w:i/>
          <w:sz w:val="24"/>
        </w:rPr>
      </w:r>
    </w:p>
    <w:p>
      <w:pPr>
        <w:pStyle w:val="Normal"/>
        <w:spacing w:lineRule="auto" w:line="360"/>
        <w:rPr>
          <w:rFonts w:ascii="Arial" w:hAnsi="Arial" w:cs="Arial"/>
          <w:sz w:val="24"/>
        </w:rPr>
      </w:pPr>
      <w:r>
        <w:rPr>
          <w:rFonts w:cs="Arial" w:ascii="Arial" w:hAnsi="Arial"/>
          <w:sz w:val="24"/>
        </w:rPr>
        <w:tab/>
        <w:t>Also, retail marketers are dependent on utilities for many things, including:  providing historic consumption data; processing enrollment requests; collecting and providing meter data; and developing the load profiles by which most customers’ hourly usage is calculated.  If the utility fails to perform any of these services in an accurate and timely fashion, the marketer’s ability to serve its customers is impaired.  Both the marketer and its customers suffer.</w:t>
      </w:r>
    </w:p>
    <w:p>
      <w:pPr>
        <w:pStyle w:val="Normal"/>
        <w:spacing w:lineRule="auto" w:line="360"/>
        <w:rPr>
          <w:rFonts w:ascii="Arial" w:hAnsi="Arial" w:cs="Arial"/>
          <w:sz w:val="24"/>
        </w:rPr>
      </w:pPr>
      <w:r>
        <w:rPr>
          <w:rFonts w:cs="Arial" w:ascii="Arial" w:hAnsi="Arial"/>
          <w:sz w:val="24"/>
        </w:rPr>
      </w:r>
    </w:p>
    <w:p>
      <w:pPr>
        <w:pStyle w:val="Normal"/>
        <w:spacing w:lineRule="auto" w:line="360"/>
        <w:ind w:firstLine="720" w:end="0"/>
        <w:rPr/>
      </w:pPr>
      <w:r>
        <w:rPr>
          <w:rFonts w:cs="Arial" w:ascii="Arial" w:hAnsi="Arial"/>
          <w:sz w:val="24"/>
        </w:rPr>
        <w:t>The Department can encourage utilities to improve service to retail marketers by adopting one very simple performance measure:  the rate of customer migration to competitive supply.  This measure would also advance the policy of increasing competition in energy markets in the Commonwealth.  Indeed, if such a performance measure had been in place during the first 13 months of retail electric competition, the Commonwealth would likely have done far better than the 0.1% switching rate that it achieved.</w:t>
      </w:r>
      <w:r>
        <w:rPr>
          <w:rStyle w:val="FootnoteCharacters"/>
          <w:rStyle w:val="FootnoteReference"/>
          <w:rFonts w:cs="Arial" w:ascii="Arial" w:hAnsi="Arial"/>
          <w:sz w:val="24"/>
        </w:rPr>
        <w:footnoteReference w:id="3"/>
      </w:r>
      <w:r>
        <w:rPr>
          <w:rFonts w:cs="Arial" w:ascii="Arial" w:hAnsi="Arial"/>
          <w:sz w:val="24"/>
        </w:rPr>
        <w:t xml:space="preserve">  </w:t>
      </w:r>
    </w:p>
    <w:p>
      <w:pPr>
        <w:pStyle w:val="Normal"/>
        <w:spacing w:lineRule="auto" w:line="360"/>
        <w:ind w:firstLine="720" w:end="0"/>
        <w:rPr>
          <w:rFonts w:ascii="Arial" w:hAnsi="Arial" w:cs="Arial"/>
          <w:sz w:val="24"/>
        </w:rPr>
      </w:pPr>
      <w:r>
        <w:rPr>
          <w:rFonts w:cs="Arial" w:ascii="Arial" w:hAnsi="Arial"/>
          <w:sz w:val="24"/>
        </w:rPr>
      </w:r>
    </w:p>
    <w:p>
      <w:pPr>
        <w:pStyle w:val="Normal"/>
        <w:spacing w:lineRule="auto" w:line="360"/>
        <w:ind w:firstLine="720" w:end="0"/>
        <w:rPr>
          <w:rFonts w:ascii="Arial" w:hAnsi="Arial" w:cs="Arial"/>
          <w:sz w:val="24"/>
        </w:rPr>
      </w:pPr>
      <w:r>
        <w:rPr>
          <w:rFonts w:cs="Arial" w:ascii="Arial" w:hAnsi="Arial"/>
          <w:sz w:val="24"/>
        </w:rPr>
        <w:t xml:space="preserve">While utilities control many factors that influence switching rates, there are also other factors that are beyond the utilities’ control.  Therefore, we recommend that any PBR program adopt only an upside component of this measure; in other words, we recommend a reward for a customer migration rate above a target level, with no penalty should migration fall below that level. </w:t>
      </w:r>
    </w:p>
    <w:p>
      <w:pPr>
        <w:pStyle w:val="Normal"/>
        <w:spacing w:lineRule="auto" w:line="360"/>
        <w:rPr>
          <w:rFonts w:ascii="Arial" w:hAnsi="Arial" w:cs="Arial"/>
          <w:sz w:val="24"/>
        </w:rPr>
      </w:pPr>
      <w:r>
        <w:rPr>
          <w:rFonts w:cs="Arial" w:ascii="Arial" w:hAnsi="Arial"/>
          <w:sz w:val="24"/>
        </w:rPr>
      </w:r>
    </w:p>
    <w:p>
      <w:pPr>
        <w:pStyle w:val="BodyText2"/>
        <w:rPr>
          <w:rFonts w:ascii="Arial" w:hAnsi="Arial" w:cs="Arial"/>
        </w:rPr>
      </w:pPr>
      <w:r>
        <w:rPr>
          <w:rFonts w:cs="Arial" w:ascii="Arial" w:hAnsi="Arial"/>
        </w:rPr>
        <w:tab/>
        <w:t>In addition to customer migration rate, there are several other indices that can be benchmarked to ascertain the level of a utility’s service to its marketer customers.  Examples of Marketer Satisfaction Measures which lend themselves to being benchmarked, measured, and reported with a minimum of administrative effort include:</w:t>
      </w:r>
    </w:p>
    <w:p>
      <w:pPr>
        <w:pStyle w:val="Normal"/>
        <w:spacing w:lineRule="auto" w:line="360"/>
        <w:rPr>
          <w:rFonts w:ascii="Arial" w:hAnsi="Arial" w:cs="Arial"/>
          <w:sz w:val="24"/>
        </w:rPr>
      </w:pPr>
      <w:r>
        <w:rPr>
          <w:rFonts w:cs="Arial" w:ascii="Arial" w:hAnsi="Arial"/>
          <w:sz w:val="24"/>
        </w:rPr>
      </w:r>
    </w:p>
    <w:p>
      <w:pPr>
        <w:pStyle w:val="Normal"/>
        <w:numPr>
          <w:ilvl w:val="0"/>
          <w:numId w:val="2"/>
        </w:numPr>
        <w:spacing w:lineRule="auto" w:line="360"/>
        <w:rPr>
          <w:rFonts w:ascii="Arial" w:hAnsi="Arial" w:cs="Arial"/>
          <w:sz w:val="24"/>
        </w:rPr>
      </w:pPr>
      <w:r>
        <w:rPr>
          <w:rFonts w:cs="Arial" w:ascii="Arial" w:hAnsi="Arial"/>
          <w:sz w:val="24"/>
        </w:rPr>
        <w:t>Accuracy and timeliness of responses to requests for consumption history</w:t>
      </w:r>
    </w:p>
    <w:p>
      <w:pPr>
        <w:pStyle w:val="Normal"/>
        <w:numPr>
          <w:ilvl w:val="0"/>
          <w:numId w:val="2"/>
        </w:numPr>
        <w:spacing w:lineRule="auto" w:line="360"/>
        <w:rPr>
          <w:rFonts w:ascii="Arial" w:hAnsi="Arial" w:cs="Arial"/>
          <w:sz w:val="24"/>
        </w:rPr>
      </w:pPr>
      <w:r>
        <w:rPr>
          <w:rFonts w:cs="Arial" w:ascii="Arial" w:hAnsi="Arial"/>
          <w:sz w:val="24"/>
        </w:rPr>
        <w:t>Timeliness of processing enrollments</w:t>
      </w:r>
    </w:p>
    <w:p>
      <w:pPr>
        <w:pStyle w:val="Normal"/>
        <w:numPr>
          <w:ilvl w:val="0"/>
          <w:numId w:val="2"/>
        </w:numPr>
        <w:spacing w:lineRule="auto" w:line="360"/>
        <w:rPr>
          <w:rFonts w:ascii="Arial" w:hAnsi="Arial" w:cs="Arial"/>
          <w:sz w:val="24"/>
        </w:rPr>
      </w:pPr>
      <w:r>
        <w:rPr>
          <w:rFonts w:cs="Arial" w:ascii="Arial" w:hAnsi="Arial"/>
          <w:sz w:val="24"/>
        </w:rPr>
        <w:t>Timeliness and accuracy of metering and billing data</w:t>
      </w:r>
    </w:p>
    <w:p>
      <w:pPr>
        <w:pStyle w:val="Normal"/>
        <w:numPr>
          <w:ilvl w:val="0"/>
          <w:numId w:val="2"/>
        </w:numPr>
        <w:spacing w:lineRule="auto" w:line="360"/>
        <w:rPr>
          <w:rFonts w:ascii="Arial" w:hAnsi="Arial" w:cs="Arial"/>
          <w:sz w:val="24"/>
        </w:rPr>
      </w:pPr>
      <w:r>
        <w:rPr>
          <w:rFonts w:cs="Arial" w:ascii="Arial" w:hAnsi="Arial"/>
          <w:sz w:val="24"/>
        </w:rPr>
        <w:t>Number and frequency of billing adjustments</w:t>
      </w:r>
    </w:p>
    <w:p>
      <w:pPr>
        <w:pStyle w:val="Normal"/>
        <w:numPr>
          <w:ilvl w:val="0"/>
          <w:numId w:val="2"/>
        </w:numPr>
        <w:spacing w:lineRule="auto" w:line="360"/>
        <w:rPr>
          <w:rFonts w:ascii="Arial" w:hAnsi="Arial" w:cs="Arial"/>
          <w:sz w:val="24"/>
        </w:rPr>
      </w:pPr>
      <w:r>
        <w:rPr>
          <w:rFonts w:cs="Arial" w:ascii="Arial" w:hAnsi="Arial"/>
          <w:sz w:val="24"/>
        </w:rPr>
        <w:t>Timeliness of posting of consumption and delivery data</w:t>
      </w:r>
    </w:p>
    <w:p>
      <w:pPr>
        <w:pStyle w:val="Normal"/>
        <w:numPr>
          <w:ilvl w:val="0"/>
          <w:numId w:val="2"/>
        </w:numPr>
        <w:spacing w:lineRule="auto" w:line="360"/>
        <w:rPr>
          <w:rFonts w:ascii="Arial" w:hAnsi="Arial" w:cs="Arial"/>
          <w:sz w:val="24"/>
        </w:rPr>
      </w:pPr>
      <w:r>
        <w:rPr>
          <w:rFonts w:cs="Arial" w:ascii="Arial" w:hAnsi="Arial"/>
          <w:sz w:val="24"/>
        </w:rPr>
        <w:t>Number of complaints (formal and informal) received from marketers</w:t>
      </w:r>
    </w:p>
    <w:p>
      <w:pPr>
        <w:pStyle w:val="Normal"/>
        <w:numPr>
          <w:ilvl w:val="0"/>
          <w:numId w:val="2"/>
        </w:numPr>
        <w:spacing w:lineRule="auto" w:line="360"/>
        <w:rPr>
          <w:rFonts w:ascii="Arial" w:hAnsi="Arial" w:cs="Arial"/>
          <w:sz w:val="24"/>
        </w:rPr>
      </w:pPr>
      <w:r>
        <w:rPr>
          <w:rFonts w:cs="Arial" w:ascii="Arial" w:hAnsi="Arial"/>
          <w:sz w:val="24"/>
        </w:rPr>
        <w:t>Timeliness and accuracy of flow orders (specific to LDCs who determine quantities marketers are to deliver)</w:t>
      </w:r>
    </w:p>
    <w:p>
      <w:pPr>
        <w:pStyle w:val="Normal"/>
        <w:numPr>
          <w:ilvl w:val="0"/>
          <w:numId w:val="2"/>
        </w:numPr>
        <w:spacing w:lineRule="auto" w:line="360"/>
        <w:rPr>
          <w:rFonts w:ascii="Arial" w:hAnsi="Arial" w:cs="Arial"/>
          <w:sz w:val="24"/>
        </w:rPr>
      </w:pPr>
      <w:r>
        <w:rPr>
          <w:rFonts w:cs="Arial" w:ascii="Arial" w:hAnsi="Arial"/>
          <w:sz w:val="24"/>
        </w:rPr>
        <w:t>Timeliness and accuracy of algorithms used to determine deliveries</w:t>
      </w:r>
    </w:p>
    <w:p>
      <w:pPr>
        <w:pStyle w:val="Normal"/>
        <w:numPr>
          <w:ilvl w:val="0"/>
          <w:numId w:val="2"/>
        </w:numPr>
        <w:spacing w:lineRule="auto" w:line="360"/>
        <w:rPr>
          <w:rFonts w:ascii="Arial" w:hAnsi="Arial" w:cs="Arial"/>
          <w:sz w:val="24"/>
        </w:rPr>
      </w:pPr>
      <w:r>
        <w:rPr>
          <w:rFonts w:cs="Arial" w:ascii="Arial" w:hAnsi="Arial"/>
          <w:sz w:val="24"/>
        </w:rPr>
        <w:t>Speed of response to marketer phone calls, requests and inquiries.</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 xml:space="preserve">The results of the utility score on these measures can be used to reward or penalize the utility. </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ab/>
        <w:t>The use of these types of measures is supported in the NARUC study cited above. Drawing a parallel to the telecommunications industry (in part because of the infancy of the energy services market), the NARUC study proposes that:</w:t>
      </w:r>
    </w:p>
    <w:p>
      <w:pPr>
        <w:pStyle w:val="Normal"/>
        <w:spacing w:lineRule="auto" w:line="360"/>
        <w:rPr>
          <w:rFonts w:ascii="Arial" w:hAnsi="Arial" w:cs="Arial"/>
          <w:sz w:val="24"/>
        </w:rPr>
      </w:pPr>
      <w:r>
        <w:rPr>
          <w:rFonts w:cs="Arial" w:ascii="Arial" w:hAnsi="Arial"/>
          <w:sz w:val="24"/>
        </w:rPr>
      </w:r>
    </w:p>
    <w:p>
      <w:pPr>
        <w:pStyle w:val="Normal"/>
        <w:ind w:start="720" w:end="720"/>
        <w:rPr/>
      </w:pPr>
      <w:r>
        <w:rPr>
          <w:rFonts w:cs="Arial" w:ascii="Arial" w:hAnsi="Arial"/>
          <w:sz w:val="24"/>
        </w:rPr>
        <w:t>measurement of specific data can be used to determine service quality in a manner similar to that in which retail service is measured.  Indices might include data error (corrected bills), average time from order to ordinary installation, and conformance of payment transmission to contractual standards. Alternatively, as with retail service, overall customer complaints can be tracked.</w:t>
      </w:r>
      <w:r>
        <w:rPr>
          <w:rStyle w:val="FootnoteCharacters"/>
          <w:rStyle w:val="FootnoteReference"/>
          <w:rFonts w:cs="Arial" w:ascii="Arial" w:hAnsi="Arial"/>
          <w:sz w:val="24"/>
        </w:rPr>
        <w:footnoteReference w:id="4"/>
      </w:r>
      <w:r>
        <w:rPr>
          <w:rFonts w:cs="Arial" w:ascii="Arial" w:hAnsi="Arial"/>
          <w:sz w:val="24"/>
        </w:rPr>
        <w:t xml:space="preserve"> </w:t>
      </w:r>
    </w:p>
    <w:p>
      <w:pPr>
        <w:pStyle w:val="Normal"/>
        <w:spacing w:lineRule="auto" w:line="360"/>
        <w:rPr>
          <w:rFonts w:ascii="Arial" w:hAnsi="Arial" w:cs="Arial"/>
          <w:sz w:val="24"/>
        </w:rPr>
      </w:pPr>
      <w:r>
        <w:rPr>
          <w:rFonts w:cs="Arial" w:ascii="Arial" w:hAnsi="Arial"/>
          <w:sz w:val="24"/>
        </w:rPr>
      </w:r>
    </w:p>
    <w:p>
      <w:pPr>
        <w:pStyle w:val="BodyText2"/>
        <w:rPr>
          <w:rFonts w:ascii="Arial" w:hAnsi="Arial" w:cs="Arial"/>
        </w:rPr>
      </w:pPr>
      <w:r>
        <w:rPr>
          <w:rFonts w:cs="Arial" w:ascii="Arial" w:hAnsi="Arial"/>
        </w:rPr>
        <w:tab/>
        <w:t>The Department asks for comment on the use of surveys or other means for collecting information on utilities’ performance. We support the use of focus groups (as they would be particularly helpful due to the relatively small number of these non-traditional customers of the utilities) and surveys in order to determine a utility’s performance.  We also encourage the use of anonymous surveys of marketers regarding utilities’ performance.  Anonymity is important due to the nature of the relationship between the utility and the marketer.  Maintaining a good and friendly relationship with the utility is critical to the marketers’ ability to get the commodity delivered to the customer.  We have seen numerous examples where commercial retribution is exacted on those who complain or speak up.  Although we have not experienced this phenomenon in dealing with Massachusetts utilities, the protection of anonymity will increase the frankness of the assessment.  However, we recommend that anonymous survey results be given less weight than other components in the measurement scheme ultimately adopted.</w:t>
      </w:r>
    </w:p>
    <w:p>
      <w:pPr>
        <w:pStyle w:val="Normal"/>
        <w:spacing w:lineRule="auto" w:line="360"/>
        <w:rPr>
          <w:rFonts w:ascii="Arial" w:hAnsi="Arial" w:cs="Arial"/>
          <w:sz w:val="24"/>
        </w:rPr>
      </w:pPr>
      <w:r>
        <w:rPr>
          <w:rFonts w:cs="Arial" w:ascii="Arial" w:hAnsi="Arial"/>
          <w:sz w:val="24"/>
        </w:rPr>
      </w:r>
    </w:p>
    <w:p>
      <w:pPr>
        <w:pStyle w:val="Heading7"/>
        <w:numPr>
          <w:ilvl w:val="0"/>
          <w:numId w:val="3"/>
        </w:numPr>
        <w:ind w:hanging="0" w:start="0"/>
        <w:rPr/>
      </w:pPr>
      <w:r>
        <w:rPr/>
        <w:t>Penalties and Rewards</w:t>
      </w:r>
    </w:p>
    <w:p>
      <w:pPr>
        <w:pStyle w:val="Normal"/>
        <w:spacing w:lineRule="auto" w:line="360"/>
        <w:rPr>
          <w:rFonts w:ascii="Arial" w:hAnsi="Arial" w:cs="Arial"/>
          <w:sz w:val="24"/>
        </w:rPr>
      </w:pPr>
      <w:r>
        <w:rPr>
          <w:rFonts w:cs="Arial" w:ascii="Arial" w:hAnsi="Arial"/>
          <w:sz w:val="24"/>
        </w:rPr>
      </w:r>
    </w:p>
    <w:p>
      <w:pPr>
        <w:pStyle w:val="Normal"/>
        <w:spacing w:lineRule="auto" w:line="360"/>
        <w:ind w:firstLine="720" w:end="0"/>
        <w:rPr>
          <w:rFonts w:ascii="Arial" w:hAnsi="Arial" w:cs="Arial"/>
          <w:sz w:val="24"/>
        </w:rPr>
      </w:pPr>
      <w:r>
        <w:rPr>
          <w:rFonts w:cs="Arial" w:ascii="Arial" w:hAnsi="Arial"/>
          <w:sz w:val="24"/>
        </w:rPr>
        <w:t>The Department asks whether the service quality plans should include rewards as well as penalties.  The Retail Marketers strongly encourage the Department to include rewards in its PBR scheme.  We have two reasons.</w:t>
      </w:r>
    </w:p>
    <w:p>
      <w:pPr>
        <w:pStyle w:val="Normal"/>
        <w:spacing w:lineRule="auto" w:line="360"/>
        <w:ind w:firstLine="720" w:end="0"/>
        <w:rPr>
          <w:rFonts w:ascii="Arial" w:hAnsi="Arial" w:cs="Arial"/>
          <w:sz w:val="24"/>
        </w:rPr>
      </w:pPr>
      <w:r>
        <w:rPr>
          <w:rFonts w:cs="Arial" w:ascii="Arial" w:hAnsi="Arial"/>
          <w:sz w:val="24"/>
        </w:rPr>
      </w:r>
    </w:p>
    <w:p>
      <w:pPr>
        <w:pStyle w:val="Normal"/>
        <w:spacing w:lineRule="auto" w:line="360"/>
        <w:ind w:firstLine="720" w:end="0"/>
        <w:rPr>
          <w:rFonts w:ascii="Arial" w:hAnsi="Arial" w:cs="Arial"/>
          <w:sz w:val="24"/>
        </w:rPr>
      </w:pPr>
      <w:r>
        <w:rPr>
          <w:rFonts w:cs="Arial" w:ascii="Arial" w:hAnsi="Arial"/>
          <w:sz w:val="24"/>
        </w:rPr>
        <w:t>First, rewards are necessary to encourage the best to get better.  A system that includes only penalties will almost inevitably set the bar at “average” or “slightly above average” performance.  While it is important to bring the poor performers up to that level, we should not stop there.  Massachusetts customers deserve superior performance, and rewards are needed to get us there.</w:t>
      </w:r>
    </w:p>
    <w:p>
      <w:pPr>
        <w:pStyle w:val="Normal"/>
        <w:spacing w:lineRule="auto" w:line="360"/>
        <w:ind w:firstLine="720" w:end="0"/>
        <w:rPr>
          <w:rFonts w:ascii="Arial" w:hAnsi="Arial" w:cs="Arial"/>
          <w:sz w:val="24"/>
        </w:rPr>
      </w:pPr>
      <w:r>
        <w:rPr>
          <w:rFonts w:cs="Arial" w:ascii="Arial" w:hAnsi="Arial"/>
          <w:sz w:val="24"/>
        </w:rPr>
      </w:r>
    </w:p>
    <w:p>
      <w:pPr>
        <w:pStyle w:val="Normal"/>
        <w:spacing w:lineRule="auto" w:line="360"/>
        <w:ind w:firstLine="720" w:end="0"/>
        <w:rPr>
          <w:rFonts w:ascii="Arial" w:hAnsi="Arial" w:cs="Arial"/>
          <w:sz w:val="24"/>
        </w:rPr>
      </w:pPr>
      <w:r>
        <w:rPr>
          <w:rFonts w:cs="Arial" w:ascii="Arial" w:hAnsi="Arial"/>
          <w:sz w:val="24"/>
        </w:rPr>
        <w:t xml:space="preserve">Second, there are some performance measures that are important, but for which a penalty is inappropriate.  We believe that customer migration is such a metric.  Designing a system with rewards as well as penalties increases the number of benchmarks that can be included. </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ab/>
        <w:t>The Department also asked whether penalties (or rewards) should be linear.  We recommend that both penalties and rewards be non-linear; that is, the reward and penalty should increase more rapidly as performance moves further from the benchmark.  Such an approach will both reduce the likelihood of very poor performance and increase the likelihood of exemplary performance.</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i/>
          <w:sz w:val="24"/>
        </w:rPr>
        <w:tab/>
      </w:r>
    </w:p>
    <w:p>
      <w:pPr>
        <w:pStyle w:val="Heading4"/>
        <w:ind w:hanging="0" w:start="0"/>
        <w:rPr>
          <w:rFonts w:ascii="Arial" w:hAnsi="Arial" w:cs="Arial"/>
          <w:sz w:val="24"/>
        </w:rPr>
      </w:pPr>
      <w:r>
        <w:rPr>
          <w:rFonts w:cs="Arial" w:ascii="Arial" w:hAnsi="Arial"/>
          <w:sz w:val="24"/>
        </w:rPr>
        <w:t>III. Conclusion</w:t>
      </w:r>
    </w:p>
    <w:p>
      <w:pPr>
        <w:pStyle w:val="Normal"/>
        <w:spacing w:lineRule="auto" w:line="360"/>
        <w:ind w:firstLine="720" w:end="0"/>
        <w:rPr>
          <w:rFonts w:ascii="Arial" w:hAnsi="Arial" w:cs="Arial"/>
          <w:sz w:val="24"/>
        </w:rPr>
      </w:pPr>
      <w:r>
        <w:rPr>
          <w:rFonts w:cs="Arial" w:ascii="Arial" w:hAnsi="Arial"/>
          <w:sz w:val="24"/>
        </w:rPr>
      </w:r>
    </w:p>
    <w:p>
      <w:pPr>
        <w:pStyle w:val="Normal"/>
        <w:spacing w:lineRule="auto" w:line="360"/>
        <w:ind w:firstLine="720" w:end="0"/>
        <w:rPr>
          <w:rFonts w:ascii="Arial" w:hAnsi="Arial" w:cs="Arial"/>
          <w:sz w:val="24"/>
        </w:rPr>
      </w:pPr>
      <w:r>
        <w:rPr>
          <w:rFonts w:cs="Arial" w:ascii="Arial" w:hAnsi="Arial"/>
          <w:sz w:val="24"/>
        </w:rPr>
        <w:t>In introducing competition in both the electric and gas industries in the Commonwealth, the Department has acknowledged that a vibrant, competitive market can serve as the guarantor of exceptional service to end-use customers. This proceeding provides the Department with the opportunity to develop the proper incentives for electric and gas utilities to meet the needs of marketers, without whom the DTE’s goals for a competitive market cannot be met.</w:t>
      </w:r>
    </w:p>
    <w:p>
      <w:pPr>
        <w:pStyle w:val="Normal"/>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ab/>
        <w:t xml:space="preserve">Therefore, the Retail Market Participants urge the Department to explicitly address the level of service to marketers as it moves forward with this initiative. To ignore marketers as customers of utilities is to deny a voice to a growing number of ultimate customers in assessing the utilities’ performance. </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ab/>
        <w:t>We appreciate the opportunity to submit these Comments and we look forward to working with the Department on this important initiative.</w:t>
      </w:r>
    </w:p>
    <w:p>
      <w:pPr>
        <w:pStyle w:val="Normal"/>
        <w:spacing w:lineRule="auto" w:line="360"/>
        <w:rPr>
          <w:rFonts w:ascii="Arial" w:hAnsi="Arial" w:cs="Arial"/>
          <w:sz w:val="24"/>
        </w:rPr>
      </w:pPr>
      <w:r>
        <w:rPr>
          <w:rFonts w:cs="Arial" w:ascii="Arial" w:hAnsi="Arial"/>
          <w:sz w:val="24"/>
        </w:rPr>
      </w:r>
      <w:r>
        <w:br w:type="page"/>
      </w:r>
    </w:p>
    <w:p>
      <w:pPr>
        <w:pStyle w:val="List"/>
        <w:rPr>
          <w:rFonts w:cs="Arial"/>
          <w:sz w:val="24"/>
        </w:rPr>
      </w:pPr>
      <w:r>
        <w:rPr>
          <w:rFonts w:cs="Arial"/>
          <w:sz w:val="24"/>
        </w:rPr>
        <w:t>Respectfully submitted,</w:t>
      </w:r>
    </w:p>
    <w:p>
      <w:pPr>
        <w:pStyle w:val="List"/>
        <w:rPr>
          <w:rFonts w:cs="Arial"/>
          <w:sz w:val="24"/>
        </w:rPr>
      </w:pPr>
      <w:r>
        <w:rPr>
          <w:rFonts w:cs="Arial"/>
          <w:sz w:val="24"/>
        </w:rPr>
      </w:r>
    </w:p>
    <w:p>
      <w:pPr>
        <w:pStyle w:val="List"/>
        <w:rPr>
          <w:rFonts w:cs="Arial"/>
          <w:sz w:val="24"/>
        </w:rPr>
      </w:pPr>
      <w:r>
        <w:rPr>
          <w:rFonts w:cs="Arial"/>
          <w:sz w:val="24"/>
        </w:rPr>
      </w:r>
    </w:p>
    <w:p>
      <w:pPr>
        <w:pStyle w:val="List"/>
        <w:rPr>
          <w:rFonts w:cs="Arial"/>
          <w:sz w:val="24"/>
        </w:rPr>
      </w:pPr>
      <w:r>
        <w:rPr>
          <w:rFonts w:cs="Arial"/>
          <w:sz w:val="24"/>
        </w:rPr>
      </w:r>
    </w:p>
    <w:p>
      <w:pPr>
        <w:pStyle w:val="List"/>
        <w:rPr>
          <w:rFonts w:cs="Arial"/>
          <w:sz w:val="24"/>
        </w:rPr>
      </w:pPr>
      <w:r>
        <w:rPr>
          <w:rFonts w:cs="Arial"/>
          <w:sz w:val="24"/>
        </w:rPr>
      </w:r>
    </w:p>
    <w:p>
      <w:pPr>
        <w:pStyle w:val="List"/>
        <w:rPr>
          <w:rFonts w:cs="Arial"/>
          <w:sz w:val="24"/>
        </w:rPr>
      </w:pPr>
      <w:r>
        <w:rPr>
          <w:rFonts w:cs="Arial"/>
          <w:sz w:val="24"/>
        </w:rPr>
      </w:r>
    </w:p>
    <w:tbl>
      <w:tblPr>
        <w:tblW w:w="8496" w:type="dxa"/>
        <w:jc w:val="start"/>
        <w:tblInd w:w="360" w:type="dxa"/>
        <w:tblLayout w:type="fixed"/>
        <w:tblCellMar>
          <w:top w:w="0" w:type="dxa"/>
          <w:start w:w="108" w:type="dxa"/>
          <w:bottom w:w="0" w:type="dxa"/>
          <w:end w:w="108" w:type="dxa"/>
        </w:tblCellMar>
      </w:tblPr>
      <w:tblGrid>
        <w:gridCol w:w="4218"/>
        <w:gridCol w:w="4278"/>
      </w:tblGrid>
      <w:tr>
        <w:trPr/>
        <w:tc>
          <w:tcPr>
            <w:tcW w:w="4218" w:type="dxa"/>
            <w:tcBorders/>
          </w:tcPr>
          <w:p>
            <w:pPr>
              <w:pStyle w:val="InsideAddress"/>
              <w:rPr>
                <w:rFonts w:cs="Arial"/>
                <w:sz w:val="24"/>
              </w:rPr>
            </w:pPr>
            <w:r>
              <w:rPr>
                <w:rFonts w:cs="Arial"/>
                <w:sz w:val="24"/>
              </w:rPr>
              <w:t>Antonio D. Aguiar</w:t>
            </w:r>
          </w:p>
          <w:p>
            <w:pPr>
              <w:pStyle w:val="InsideAddress"/>
              <w:rPr>
                <w:rFonts w:cs="Arial"/>
                <w:sz w:val="24"/>
              </w:rPr>
            </w:pPr>
            <w:r>
              <w:rPr>
                <w:rFonts w:cs="Arial"/>
                <w:sz w:val="24"/>
              </w:rPr>
              <w:t>EnergyEXPRESS, Inc.</w:t>
            </w:r>
          </w:p>
          <w:p>
            <w:pPr>
              <w:pStyle w:val="InsideAddress"/>
              <w:rPr>
                <w:rFonts w:cs="Arial"/>
                <w:sz w:val="24"/>
              </w:rPr>
            </w:pPr>
            <w:r>
              <w:rPr>
                <w:rFonts w:cs="Arial"/>
                <w:sz w:val="24"/>
              </w:rPr>
              <w:t>2000 West Park Drive, Suite 300</w:t>
            </w:r>
          </w:p>
          <w:p>
            <w:pPr>
              <w:pStyle w:val="InsideAddress"/>
              <w:rPr>
                <w:rFonts w:cs="Arial"/>
                <w:sz w:val="24"/>
              </w:rPr>
            </w:pPr>
            <w:r>
              <w:rPr>
                <w:rFonts w:cs="Arial"/>
                <w:sz w:val="24"/>
              </w:rPr>
              <w:t>Westborough,  MA   01581</w:t>
            </w:r>
          </w:p>
          <w:p>
            <w:pPr>
              <w:pStyle w:val="Normal"/>
              <w:rPr>
                <w:rFonts w:ascii="Arial" w:hAnsi="Arial" w:cs="Arial"/>
                <w:sz w:val="24"/>
              </w:rPr>
            </w:pPr>
            <w:r>
              <w:rPr>
                <w:rFonts w:cs="Arial" w:ascii="Arial" w:hAnsi="Arial"/>
                <w:sz w:val="24"/>
              </w:rPr>
              <w:t>tel:  (508) 599-7122</w:t>
            </w:r>
          </w:p>
          <w:p>
            <w:pPr>
              <w:pStyle w:val="Normal"/>
              <w:rPr>
                <w:rFonts w:ascii="Arial" w:hAnsi="Arial" w:cs="Arial"/>
                <w:sz w:val="24"/>
              </w:rPr>
            </w:pPr>
            <w:r>
              <w:rPr>
                <w:rFonts w:cs="Arial" w:ascii="Arial" w:hAnsi="Arial"/>
                <w:sz w:val="24"/>
              </w:rPr>
              <w:t>fax:  (508) 871-0988</w:t>
            </w:r>
          </w:p>
          <w:p>
            <w:pPr>
              <w:pStyle w:val="InsideAddress"/>
              <w:rPr>
                <w:rFonts w:cs="Arial"/>
                <w:sz w:val="24"/>
              </w:rPr>
            </w:pPr>
            <w:r>
              <w:rPr>
                <w:rFonts w:cs="Arial"/>
                <w:sz w:val="24"/>
              </w:rPr>
              <w:t>e-mail:  taguiar@energyusa.com</w:t>
            </w:r>
          </w:p>
          <w:p>
            <w:pPr>
              <w:pStyle w:val="List"/>
              <w:ind w:hanging="0" w:start="0" w:end="0"/>
              <w:rPr>
                <w:rFonts w:cs="Arial"/>
                <w:sz w:val="24"/>
              </w:rPr>
            </w:pPr>
            <w:r>
              <w:rPr>
                <w:rFonts w:cs="Arial"/>
                <w:sz w:val="24"/>
              </w:rPr>
            </w:r>
          </w:p>
        </w:tc>
        <w:tc>
          <w:tcPr>
            <w:tcW w:w="4278" w:type="dxa"/>
            <w:tcBorders/>
          </w:tcPr>
          <w:p>
            <w:pPr>
              <w:pStyle w:val="List"/>
              <w:rPr/>
            </w:pPr>
            <w:r>
              <w:rPr/>
              <w:t> </w:t>
            </w:r>
            <w:r>
              <w:rPr>
                <w:rFonts w:cs="Arial"/>
                <w:sz w:val="24"/>
              </w:rPr>
              <w:t>Kathryn E. Loebs</w:t>
            </w:r>
          </w:p>
          <w:p>
            <w:pPr>
              <w:pStyle w:val="List"/>
              <w:rPr>
                <w:rFonts w:cs="Arial"/>
                <w:sz w:val="24"/>
              </w:rPr>
            </w:pPr>
            <w:r>
              <w:rPr>
                <w:rFonts w:cs="Arial"/>
                <w:sz w:val="24"/>
              </w:rPr>
              <w:t>New Energy, Inc.</w:t>
            </w:r>
          </w:p>
          <w:p>
            <w:pPr>
              <w:pStyle w:val="List"/>
              <w:rPr>
                <w:rFonts w:cs="Arial"/>
                <w:sz w:val="24"/>
              </w:rPr>
            </w:pPr>
            <w:r>
              <w:rPr>
                <w:rFonts w:cs="Arial"/>
                <w:sz w:val="24"/>
              </w:rPr>
              <w:t>535 Boylston Street, Top Floor</w:t>
            </w:r>
          </w:p>
          <w:p>
            <w:pPr>
              <w:pStyle w:val="List"/>
              <w:rPr>
                <w:rFonts w:cs="Arial"/>
                <w:sz w:val="24"/>
              </w:rPr>
            </w:pPr>
            <w:r>
              <w:rPr>
                <w:rFonts w:cs="Arial"/>
                <w:sz w:val="24"/>
              </w:rPr>
              <w:t>Boston, MA  02116</w:t>
            </w:r>
          </w:p>
          <w:p>
            <w:pPr>
              <w:pStyle w:val="Normal"/>
              <w:rPr>
                <w:rFonts w:ascii="Arial" w:hAnsi="Arial" w:cs="Arial"/>
                <w:sz w:val="24"/>
              </w:rPr>
            </w:pPr>
            <w:r>
              <w:rPr>
                <w:rFonts w:cs="Arial" w:ascii="Arial" w:hAnsi="Arial"/>
                <w:sz w:val="24"/>
              </w:rPr>
              <w:t>tel:  (617) 859-3666</w:t>
            </w:r>
          </w:p>
          <w:p>
            <w:pPr>
              <w:pStyle w:val="Normal"/>
              <w:rPr>
                <w:rFonts w:ascii="Arial" w:hAnsi="Arial" w:cs="Arial"/>
                <w:sz w:val="24"/>
              </w:rPr>
            </w:pPr>
            <w:r>
              <w:rPr>
                <w:rFonts w:cs="Arial" w:ascii="Arial" w:hAnsi="Arial"/>
                <w:sz w:val="24"/>
              </w:rPr>
              <w:t>fax:  (617) 859-3008</w:t>
            </w:r>
          </w:p>
          <w:p>
            <w:pPr>
              <w:pStyle w:val="Normal"/>
              <w:rPr>
                <w:rFonts w:ascii="Arial" w:hAnsi="Arial" w:cs="Arial"/>
                <w:sz w:val="24"/>
              </w:rPr>
            </w:pPr>
            <w:r>
              <w:rPr>
                <w:rFonts w:cs="Arial" w:ascii="Arial" w:hAnsi="Arial"/>
                <w:sz w:val="24"/>
              </w:rPr>
              <w:t xml:space="preserve">e-mail:  </w:t>
            </w:r>
            <w:hyperlink r:id="rId4">
              <w:r>
                <w:rPr>
                  <w:rStyle w:val="Hyperlink"/>
                  <w:rFonts w:cs="Arial" w:ascii="Arial" w:hAnsi="Arial"/>
                  <w:sz w:val="24"/>
                </w:rPr>
                <w:t>kloebs@newenergy.com</w:t>
              </w:r>
            </w:hyperlink>
          </w:p>
          <w:p>
            <w:pPr>
              <w:pStyle w:val="Normal"/>
              <w:rPr>
                <w:rFonts w:ascii="Arial" w:hAnsi="Arial" w:cs="Arial"/>
                <w:sz w:val="24"/>
              </w:rPr>
            </w:pPr>
            <w:r>
              <w:rPr>
                <w:rFonts w:cs="Arial" w:ascii="Arial" w:hAnsi="Arial"/>
                <w:sz w:val="24"/>
              </w:rPr>
            </w:r>
          </w:p>
        </w:tc>
      </w:tr>
      <w:tr>
        <w:trPr/>
        <w:tc>
          <w:tcPr>
            <w:tcW w:w="4218" w:type="dxa"/>
            <w:tcBorders/>
          </w:tcPr>
          <w:p>
            <w:pPr>
              <w:pStyle w:val="BodyText"/>
              <w:spacing w:lineRule="auto" w:line="240" w:before="0" w:after="0"/>
              <w:rPr>
                <w:rFonts w:ascii="Arial" w:hAnsi="Arial" w:cs="Arial"/>
              </w:rPr>
            </w:pPr>
            <w:r>
              <w:rPr>
                <w:rFonts w:cs="Arial" w:ascii="Arial" w:hAnsi="Arial"/>
              </w:rPr>
              <w:t>Sue Nord</w:t>
            </w:r>
          </w:p>
          <w:p>
            <w:pPr>
              <w:pStyle w:val="BodyText"/>
              <w:spacing w:lineRule="auto" w:line="240" w:before="0" w:after="0"/>
              <w:rPr>
                <w:rFonts w:ascii="Arial" w:hAnsi="Arial" w:cs="Arial"/>
              </w:rPr>
            </w:pPr>
            <w:r>
              <w:rPr>
                <w:rFonts w:cs="Arial" w:ascii="Arial" w:hAnsi="Arial"/>
              </w:rPr>
              <w:t>Enron Energy Services</w:t>
            </w:r>
          </w:p>
          <w:p>
            <w:pPr>
              <w:pStyle w:val="BodyText"/>
              <w:spacing w:lineRule="auto" w:line="240" w:before="0" w:after="0"/>
              <w:rPr>
                <w:rFonts w:ascii="Arial" w:hAnsi="Arial" w:cs="Arial"/>
              </w:rPr>
            </w:pPr>
            <w:r>
              <w:rPr>
                <w:rFonts w:cs="Arial" w:ascii="Arial" w:hAnsi="Arial"/>
              </w:rPr>
              <w:t>2 Capital Plaza</w:t>
            </w:r>
          </w:p>
          <w:p>
            <w:pPr>
              <w:pStyle w:val="BodyText"/>
              <w:spacing w:lineRule="auto" w:line="240" w:before="0" w:after="0"/>
              <w:rPr>
                <w:rFonts w:ascii="Arial" w:hAnsi="Arial" w:cs="Arial"/>
              </w:rPr>
            </w:pPr>
            <w:r>
              <w:rPr>
                <w:rFonts w:cs="Arial" w:ascii="Arial" w:hAnsi="Arial"/>
              </w:rPr>
              <w:t>Concord, NH 03301</w:t>
            </w:r>
          </w:p>
          <w:p>
            <w:pPr>
              <w:pStyle w:val="BodyText"/>
              <w:spacing w:lineRule="auto" w:line="240" w:before="0" w:after="0"/>
              <w:rPr>
                <w:rFonts w:ascii="Arial" w:hAnsi="Arial" w:cs="Arial"/>
              </w:rPr>
            </w:pPr>
            <w:r>
              <w:rPr>
                <w:rFonts w:cs="Arial" w:ascii="Arial" w:hAnsi="Arial"/>
              </w:rPr>
              <w:t>tel:  (603) 224-5942</w:t>
            </w:r>
          </w:p>
          <w:p>
            <w:pPr>
              <w:pStyle w:val="BodyText"/>
              <w:spacing w:lineRule="auto" w:line="240" w:before="0" w:after="0"/>
              <w:rPr>
                <w:rFonts w:ascii="Arial" w:hAnsi="Arial" w:cs="Arial"/>
              </w:rPr>
            </w:pPr>
            <w:r>
              <w:rPr>
                <w:rFonts w:cs="Arial" w:ascii="Arial" w:hAnsi="Arial"/>
              </w:rPr>
              <w:t>fax:  (603) 224-7601</w:t>
            </w:r>
          </w:p>
          <w:p>
            <w:pPr>
              <w:pStyle w:val="BodyText"/>
              <w:spacing w:lineRule="auto" w:line="240" w:before="0" w:after="0"/>
              <w:rPr>
                <w:rFonts w:ascii="Arial" w:hAnsi="Arial" w:cs="Arial"/>
              </w:rPr>
            </w:pPr>
            <w:r>
              <w:rPr>
                <w:rFonts w:cs="Arial" w:ascii="Arial" w:hAnsi="Arial"/>
              </w:rPr>
              <w:t xml:space="preserve">e-mail:  </w:t>
            </w:r>
            <w:hyperlink r:id="rId5">
              <w:r>
                <w:rPr>
                  <w:rStyle w:val="Hyperlink"/>
                  <w:rFonts w:cs="Arial" w:ascii="Arial" w:hAnsi="Arial"/>
                </w:rPr>
                <w:t>snord@enron.com</w:t>
              </w:r>
            </w:hyperlink>
          </w:p>
          <w:p>
            <w:pPr>
              <w:pStyle w:val="List"/>
              <w:ind w:hanging="0" w:start="0" w:end="0"/>
              <w:rPr>
                <w:rFonts w:ascii="Arial" w:hAnsi="Arial" w:cs="Arial"/>
              </w:rPr>
            </w:pPr>
            <w:r>
              <w:rPr>
                <w:rFonts w:cs="Arial"/>
              </w:rPr>
            </w:r>
          </w:p>
        </w:tc>
        <w:tc>
          <w:tcPr>
            <w:tcW w:w="4278" w:type="dxa"/>
            <w:tcBorders/>
          </w:tcPr>
          <w:p>
            <w:pPr>
              <w:pStyle w:val="Normal"/>
              <w:rPr>
                <w:rFonts w:ascii="Arial" w:hAnsi="Arial" w:cs="Arial"/>
                <w:sz w:val="24"/>
              </w:rPr>
            </w:pPr>
            <w:r>
              <w:rPr>
                <w:rFonts w:cs="Arial" w:ascii="Arial" w:hAnsi="Arial"/>
                <w:sz w:val="24"/>
              </w:rPr>
              <w:t>Thomas E. Bessette, Esq.</w:t>
            </w:r>
          </w:p>
          <w:p>
            <w:pPr>
              <w:pStyle w:val="Normal"/>
              <w:rPr>
                <w:rFonts w:ascii="Arial" w:hAnsi="Arial" w:cs="Arial"/>
                <w:sz w:val="24"/>
              </w:rPr>
            </w:pPr>
            <w:r>
              <w:rPr>
                <w:rFonts w:cs="Arial" w:ascii="Arial" w:hAnsi="Arial"/>
                <w:sz w:val="24"/>
              </w:rPr>
              <w:t>Director - Government Affairs NE</w:t>
            </w:r>
          </w:p>
          <w:p>
            <w:pPr>
              <w:pStyle w:val="Normal"/>
              <w:rPr>
                <w:rFonts w:ascii="Arial" w:hAnsi="Arial" w:cs="Arial"/>
                <w:sz w:val="24"/>
              </w:rPr>
            </w:pPr>
            <w:r>
              <w:rPr>
                <w:rFonts w:cs="Arial" w:ascii="Arial" w:hAnsi="Arial"/>
                <w:sz w:val="24"/>
              </w:rPr>
              <w:t>PG&amp;E Energy Services Company</w:t>
            </w:r>
          </w:p>
          <w:p>
            <w:pPr>
              <w:pStyle w:val="Normal"/>
              <w:rPr>
                <w:rFonts w:ascii="Arial" w:hAnsi="Arial" w:cs="Arial"/>
                <w:sz w:val="24"/>
              </w:rPr>
            </w:pPr>
            <w:r>
              <w:rPr>
                <w:rFonts w:cs="Arial" w:ascii="Arial" w:hAnsi="Arial"/>
                <w:sz w:val="24"/>
              </w:rPr>
              <w:t>One Bowdoin Square</w:t>
            </w:r>
          </w:p>
          <w:p>
            <w:pPr>
              <w:pStyle w:val="Normal"/>
              <w:rPr>
                <w:rFonts w:ascii="Arial" w:hAnsi="Arial" w:cs="Arial"/>
                <w:sz w:val="24"/>
              </w:rPr>
            </w:pPr>
            <w:r>
              <w:rPr>
                <w:rFonts w:cs="Arial" w:ascii="Arial" w:hAnsi="Arial"/>
                <w:sz w:val="24"/>
              </w:rPr>
              <w:t>Boston, MA 02114</w:t>
            </w:r>
          </w:p>
          <w:p>
            <w:pPr>
              <w:pStyle w:val="Normal"/>
              <w:rPr>
                <w:rFonts w:ascii="Arial" w:hAnsi="Arial" w:cs="Arial"/>
                <w:sz w:val="24"/>
              </w:rPr>
            </w:pPr>
            <w:r>
              <w:rPr>
                <w:rFonts w:cs="Arial" w:ascii="Arial" w:hAnsi="Arial"/>
                <w:sz w:val="24"/>
              </w:rPr>
              <w:t>tel:  (617) 788-3148</w:t>
            </w:r>
          </w:p>
          <w:p>
            <w:pPr>
              <w:pStyle w:val="Normal"/>
              <w:rPr>
                <w:rFonts w:ascii="Arial" w:hAnsi="Arial" w:cs="Arial"/>
                <w:sz w:val="24"/>
              </w:rPr>
            </w:pPr>
            <w:r>
              <w:rPr>
                <w:rFonts w:cs="Arial" w:ascii="Arial" w:hAnsi="Arial"/>
                <w:sz w:val="24"/>
              </w:rPr>
              <w:t>fax:  (617) 788-3100</w:t>
            </w:r>
          </w:p>
          <w:p>
            <w:pPr>
              <w:pStyle w:val="Normal"/>
              <w:rPr/>
            </w:pPr>
            <w:r>
              <w:rPr>
                <w:rFonts w:cs="Arial" w:ascii="Arial" w:hAnsi="Arial"/>
                <w:sz w:val="24"/>
              </w:rPr>
              <w:t xml:space="preserve">e-mail:  </w:t>
            </w:r>
            <w:hyperlink r:id="rId6">
              <w:r>
                <w:rPr>
                  <w:rStyle w:val="Hyperlink"/>
                  <w:rFonts w:cs="Arial" w:ascii="Arial" w:hAnsi="Arial"/>
                  <w:sz w:val="24"/>
                </w:rPr>
                <w:t>Tom.Bessette@gen.pge.com</w:t>
              </w:r>
            </w:hyperlink>
          </w:p>
          <w:p>
            <w:pPr>
              <w:pStyle w:val="Heading6"/>
              <w:ind w:hanging="0" w:start="0"/>
              <w:rPr>
                <w:rFonts w:cs="Arial"/>
              </w:rPr>
            </w:pPr>
            <w:r>
              <w:rPr>
                <w:rFonts w:cs="Arial"/>
              </w:rPr>
            </w:r>
          </w:p>
        </w:tc>
      </w:tr>
      <w:tr>
        <w:trPr/>
        <w:tc>
          <w:tcPr>
            <w:tcW w:w="4218" w:type="dxa"/>
            <w:tcBorders/>
          </w:tcPr>
          <w:p>
            <w:pPr>
              <w:pStyle w:val="List"/>
              <w:ind w:hanging="0" w:start="0" w:end="0"/>
              <w:rPr>
                <w:rFonts w:cs="Arial"/>
                <w:sz w:val="24"/>
              </w:rPr>
            </w:pPr>
            <w:r>
              <w:rPr>
                <w:rFonts w:cs="Arial"/>
                <w:sz w:val="24"/>
              </w:rPr>
              <w:t>Carrie Cullen Hitt</w:t>
            </w:r>
          </w:p>
          <w:p>
            <w:pPr>
              <w:pStyle w:val="List"/>
              <w:ind w:hanging="0" w:start="0" w:end="0"/>
              <w:rPr>
                <w:rFonts w:cs="Arial"/>
                <w:sz w:val="24"/>
              </w:rPr>
            </w:pPr>
            <w:r>
              <w:rPr>
                <w:rFonts w:cs="Arial"/>
                <w:sz w:val="24"/>
              </w:rPr>
              <w:t>GreenMountain.com</w:t>
            </w:r>
          </w:p>
          <w:p>
            <w:pPr>
              <w:pStyle w:val="List"/>
              <w:ind w:hanging="0" w:start="0" w:end="0"/>
              <w:rPr>
                <w:rFonts w:cs="Arial"/>
                <w:sz w:val="24"/>
              </w:rPr>
            </w:pPr>
            <w:r>
              <w:rPr>
                <w:rFonts w:cs="Arial"/>
                <w:sz w:val="24"/>
              </w:rPr>
              <w:t>36 Sparks St., Suite 1</w:t>
            </w:r>
          </w:p>
          <w:p>
            <w:pPr>
              <w:pStyle w:val="List"/>
              <w:ind w:hanging="0" w:start="0" w:end="0"/>
              <w:rPr>
                <w:rFonts w:cs="Arial"/>
                <w:sz w:val="24"/>
              </w:rPr>
            </w:pPr>
            <w:r>
              <w:rPr>
                <w:rFonts w:cs="Arial"/>
                <w:sz w:val="24"/>
              </w:rPr>
              <w:t>Cambridge, MA 02138</w:t>
            </w:r>
          </w:p>
          <w:p>
            <w:pPr>
              <w:pStyle w:val="List"/>
              <w:ind w:hanging="0" w:start="0" w:end="0"/>
              <w:rPr>
                <w:rFonts w:cs="Arial"/>
                <w:sz w:val="24"/>
              </w:rPr>
            </w:pPr>
            <w:r>
              <w:rPr>
                <w:rFonts w:cs="Arial"/>
                <w:sz w:val="24"/>
              </w:rPr>
              <w:t>tel:  (617) 492-7157</w:t>
            </w:r>
          </w:p>
          <w:p>
            <w:pPr>
              <w:pStyle w:val="List"/>
              <w:ind w:hanging="0" w:start="0" w:end="0"/>
              <w:rPr>
                <w:rFonts w:cs="Arial"/>
                <w:sz w:val="24"/>
              </w:rPr>
            </w:pPr>
            <w:r>
              <w:rPr>
                <w:rFonts w:cs="Arial"/>
                <w:sz w:val="24"/>
              </w:rPr>
              <w:t>fax:  (617) 492-0755</w:t>
            </w:r>
          </w:p>
          <w:p>
            <w:pPr>
              <w:pStyle w:val="List"/>
              <w:ind w:hanging="0" w:start="0" w:end="0"/>
              <w:rPr>
                <w:rFonts w:cs="Arial"/>
                <w:sz w:val="24"/>
              </w:rPr>
            </w:pPr>
            <w:r>
              <w:rPr>
                <w:rFonts w:cs="Arial"/>
                <w:sz w:val="24"/>
              </w:rPr>
              <w:t xml:space="preserve">e-mail:  </w:t>
            </w:r>
            <w:hyperlink r:id="rId7">
              <w:r>
                <w:rPr>
                  <w:rStyle w:val="Hyperlink"/>
                  <w:rFonts w:cs="Arial"/>
                  <w:sz w:val="24"/>
                </w:rPr>
                <w:t>hitt@greenmountain.com</w:t>
              </w:r>
            </w:hyperlink>
          </w:p>
          <w:p>
            <w:pPr>
              <w:pStyle w:val="List"/>
              <w:rPr>
                <w:rFonts w:cs="Arial"/>
                <w:sz w:val="24"/>
              </w:rPr>
            </w:pPr>
            <w:r>
              <w:rPr>
                <w:rFonts w:cs="Arial"/>
                <w:sz w:val="24"/>
              </w:rPr>
            </w:r>
          </w:p>
        </w:tc>
        <w:tc>
          <w:tcPr>
            <w:tcW w:w="4278" w:type="dxa"/>
            <w:tcBorders/>
          </w:tcPr>
          <w:p>
            <w:pPr>
              <w:pStyle w:val="Normal"/>
              <w:rPr>
                <w:rFonts w:ascii="Arial" w:hAnsi="Arial" w:cs="Arial"/>
                <w:sz w:val="24"/>
              </w:rPr>
            </w:pPr>
            <w:r>
              <w:rPr>
                <w:rFonts w:cs="Arial" w:ascii="Arial" w:hAnsi="Arial"/>
                <w:sz w:val="24"/>
              </w:rPr>
              <w:t>Martha A. Duggan</w:t>
            </w:r>
          </w:p>
          <w:p>
            <w:pPr>
              <w:pStyle w:val="Normal"/>
              <w:rPr>
                <w:rFonts w:ascii="Arial" w:hAnsi="Arial" w:cs="Arial"/>
                <w:sz w:val="24"/>
              </w:rPr>
            </w:pPr>
            <w:r>
              <w:rPr>
                <w:rFonts w:cs="Arial" w:ascii="Arial" w:hAnsi="Arial"/>
                <w:sz w:val="24"/>
              </w:rPr>
              <w:t xml:space="preserve">Director, Regulatory Affairs </w:t>
            </w:r>
          </w:p>
          <w:p>
            <w:pPr>
              <w:pStyle w:val="Normal"/>
              <w:rPr>
                <w:rFonts w:ascii="Arial" w:hAnsi="Arial" w:cs="Arial"/>
                <w:sz w:val="24"/>
              </w:rPr>
            </w:pPr>
            <w:r>
              <w:rPr>
                <w:rFonts w:cs="Arial" w:ascii="Arial" w:hAnsi="Arial"/>
                <w:sz w:val="24"/>
              </w:rPr>
              <w:t>Statoil Energy, Inc.</w:t>
            </w:r>
          </w:p>
          <w:p>
            <w:pPr>
              <w:pStyle w:val="Normal"/>
              <w:rPr>
                <w:rFonts w:ascii="Arial" w:hAnsi="Arial" w:cs="Arial"/>
                <w:sz w:val="24"/>
              </w:rPr>
            </w:pPr>
            <w:r>
              <w:rPr>
                <w:rFonts w:cs="Arial" w:ascii="Arial" w:hAnsi="Arial"/>
                <w:sz w:val="24"/>
              </w:rPr>
              <w:t>2800 Eisenhower Avenue</w:t>
            </w:r>
          </w:p>
          <w:p>
            <w:pPr>
              <w:pStyle w:val="Normal"/>
              <w:rPr>
                <w:rFonts w:ascii="Arial" w:hAnsi="Arial" w:cs="Arial"/>
                <w:sz w:val="24"/>
              </w:rPr>
            </w:pPr>
            <w:r>
              <w:rPr>
                <w:rFonts w:cs="Arial" w:ascii="Arial" w:hAnsi="Arial"/>
                <w:sz w:val="24"/>
              </w:rPr>
              <w:t>Alexandria, VA  22314</w:t>
            </w:r>
          </w:p>
          <w:p>
            <w:pPr>
              <w:pStyle w:val="Normal"/>
              <w:rPr>
                <w:rFonts w:ascii="Arial" w:hAnsi="Arial" w:cs="Arial"/>
                <w:sz w:val="24"/>
              </w:rPr>
            </w:pPr>
            <w:r>
              <w:rPr>
                <w:rFonts w:cs="Arial" w:ascii="Arial" w:hAnsi="Arial"/>
                <w:sz w:val="24"/>
              </w:rPr>
              <w:t>tel:  (703) 317-2257</w:t>
            </w:r>
          </w:p>
          <w:p>
            <w:pPr>
              <w:pStyle w:val="Normal"/>
              <w:rPr>
                <w:rFonts w:ascii="Arial" w:hAnsi="Arial" w:cs="Arial"/>
                <w:sz w:val="24"/>
              </w:rPr>
            </w:pPr>
            <w:r>
              <w:rPr>
                <w:rFonts w:cs="Arial" w:ascii="Arial" w:hAnsi="Arial"/>
                <w:sz w:val="24"/>
              </w:rPr>
              <w:t>fax:  (703) 317-2306</w:t>
            </w:r>
          </w:p>
          <w:p>
            <w:pPr>
              <w:pStyle w:val="Heading6"/>
              <w:ind w:hanging="0" w:start="0"/>
              <w:rPr>
                <w:rFonts w:cs="Arial"/>
              </w:rPr>
            </w:pPr>
            <w:r>
              <w:rPr>
                <w:rFonts w:cs="Arial"/>
              </w:rPr>
              <w:t xml:space="preserve">e-mail:  </w:t>
            </w:r>
            <w:hyperlink r:id="rId8">
              <w:r>
                <w:rPr>
                  <w:rStyle w:val="Hyperlink"/>
                  <w:rFonts w:cs="Arial"/>
                </w:rPr>
                <w:t>Mduggan@statoilenergy.com</w:t>
              </w:r>
            </w:hyperlink>
          </w:p>
          <w:p>
            <w:pPr>
              <w:pStyle w:val="Normal"/>
              <w:rPr>
                <w:rFonts w:cs="Arial"/>
                <w:sz w:val="24"/>
              </w:rPr>
            </w:pPr>
            <w:r>
              <w:rPr>
                <w:rFonts w:cs="Arial"/>
                <w:sz w:val="24"/>
              </w:rPr>
            </w:r>
          </w:p>
        </w:tc>
      </w:tr>
      <w:tr>
        <w:trPr/>
        <w:tc>
          <w:tcPr>
            <w:tcW w:w="4218" w:type="dxa"/>
            <w:tcBorders/>
          </w:tcPr>
          <w:p>
            <w:pPr>
              <w:pStyle w:val="List"/>
              <w:rPr>
                <w:rFonts w:cs="Arial"/>
                <w:sz w:val="24"/>
              </w:rPr>
            </w:pPr>
            <w:r>
              <w:rPr>
                <w:rFonts w:cs="Arial"/>
                <w:sz w:val="24"/>
              </w:rPr>
              <w:t>Stephen J. Remen</w:t>
            </w:r>
          </w:p>
          <w:p>
            <w:pPr>
              <w:pStyle w:val="List"/>
              <w:rPr>
                <w:rFonts w:cs="Arial"/>
                <w:sz w:val="24"/>
              </w:rPr>
            </w:pPr>
            <w:r>
              <w:rPr>
                <w:rFonts w:cs="Arial"/>
                <w:sz w:val="24"/>
              </w:rPr>
              <w:t>Managing Director</w:t>
            </w:r>
          </w:p>
          <w:p>
            <w:pPr>
              <w:pStyle w:val="List"/>
              <w:rPr>
                <w:rFonts w:cs="Arial"/>
                <w:sz w:val="24"/>
              </w:rPr>
            </w:pPr>
            <w:r>
              <w:rPr>
                <w:rFonts w:cs="Arial"/>
                <w:sz w:val="24"/>
              </w:rPr>
              <w:t>National Energy Choice</w:t>
            </w:r>
          </w:p>
          <w:p>
            <w:pPr>
              <w:pStyle w:val="List"/>
              <w:rPr>
                <w:rFonts w:cs="Arial"/>
                <w:sz w:val="24"/>
              </w:rPr>
            </w:pPr>
            <w:r>
              <w:rPr>
                <w:rFonts w:cs="Arial"/>
                <w:sz w:val="24"/>
              </w:rPr>
              <w:t>530 Atlantic Ave.</w:t>
            </w:r>
          </w:p>
          <w:p>
            <w:pPr>
              <w:pStyle w:val="List"/>
              <w:rPr>
                <w:rFonts w:cs="Arial"/>
                <w:sz w:val="24"/>
              </w:rPr>
            </w:pPr>
            <w:r>
              <w:rPr>
                <w:rFonts w:cs="Arial"/>
                <w:sz w:val="24"/>
              </w:rPr>
              <w:t>Boston, MA 02210</w:t>
            </w:r>
          </w:p>
          <w:p>
            <w:pPr>
              <w:pStyle w:val="List"/>
              <w:rPr>
                <w:rFonts w:cs="Arial"/>
                <w:sz w:val="24"/>
              </w:rPr>
            </w:pPr>
            <w:r>
              <w:rPr>
                <w:rFonts w:cs="Arial"/>
                <w:sz w:val="24"/>
              </w:rPr>
              <w:t xml:space="preserve">tel:  (617) 772-7530  </w:t>
            </w:r>
          </w:p>
          <w:p>
            <w:pPr>
              <w:pStyle w:val="List"/>
              <w:rPr>
                <w:rFonts w:cs="Arial"/>
                <w:sz w:val="24"/>
              </w:rPr>
            </w:pPr>
            <w:r>
              <w:rPr>
                <w:rFonts w:cs="Arial"/>
                <w:sz w:val="24"/>
              </w:rPr>
              <w:t>fax:  (617) 772-7550</w:t>
            </w:r>
          </w:p>
          <w:p>
            <w:pPr>
              <w:pStyle w:val="List"/>
              <w:rPr>
                <w:rFonts w:cs="Arial"/>
                <w:sz w:val="24"/>
              </w:rPr>
            </w:pPr>
            <w:r>
              <w:rPr>
                <w:rFonts w:cs="Arial"/>
                <w:sz w:val="24"/>
              </w:rPr>
              <w:t xml:space="preserve">e-mail:  </w:t>
            </w:r>
            <w:hyperlink r:id="rId9">
              <w:r>
                <w:rPr>
                  <w:rStyle w:val="Hyperlink"/>
                  <w:rFonts w:cs="Arial"/>
                  <w:sz w:val="24"/>
                </w:rPr>
                <w:t>sremen@nechoice.com</w:t>
              </w:r>
            </w:hyperlink>
          </w:p>
          <w:p>
            <w:pPr>
              <w:pStyle w:val="Normal"/>
              <w:rPr>
                <w:rFonts w:cs="Arial"/>
                <w:sz w:val="24"/>
              </w:rPr>
            </w:pPr>
            <w:r>
              <w:rPr>
                <w:rFonts w:cs="Arial"/>
                <w:sz w:val="24"/>
              </w:rPr>
            </w:r>
          </w:p>
        </w:tc>
        <w:tc>
          <w:tcPr>
            <w:tcW w:w="4278" w:type="dxa"/>
            <w:tcBorders/>
          </w:tcPr>
          <w:p>
            <w:pPr>
              <w:pStyle w:val="Normal"/>
              <w:rPr/>
            </w:pPr>
            <w:r>
              <w:rPr>
                <w:rFonts w:cs="Arial" w:ascii="Arial" w:hAnsi="Arial"/>
                <w:color w:val="000000"/>
                <w:sz w:val="24"/>
              </w:rPr>
              <w:t>Chris S. King</w:t>
            </w:r>
            <w:r>
              <w:rPr>
                <w:rFonts w:cs="Arial" w:ascii="Arial" w:hAnsi="Arial"/>
                <w:sz w:val="24"/>
              </w:rPr>
              <w:t xml:space="preserve"> </w:t>
            </w:r>
          </w:p>
          <w:p>
            <w:pPr>
              <w:pStyle w:val="Normal"/>
              <w:rPr/>
            </w:pPr>
            <w:r>
              <w:rPr>
                <w:rFonts w:cs="Arial" w:ascii="Arial" w:hAnsi="Arial"/>
                <w:color w:val="000000"/>
                <w:sz w:val="24"/>
              </w:rPr>
              <w:t>Chief Executive Officer</w:t>
            </w:r>
            <w:r>
              <w:rPr>
                <w:rFonts w:cs="Arial" w:ascii="Arial" w:hAnsi="Arial"/>
                <w:sz w:val="24"/>
              </w:rPr>
              <w:t xml:space="preserve"> </w:t>
            </w:r>
          </w:p>
          <w:p>
            <w:pPr>
              <w:pStyle w:val="Normal"/>
              <w:rPr/>
            </w:pPr>
            <w:r>
              <w:rPr>
                <w:rFonts w:cs="Arial" w:ascii="Arial" w:hAnsi="Arial"/>
                <w:color w:val="000000"/>
                <w:sz w:val="24"/>
              </w:rPr>
              <w:t>Utility.com</w:t>
            </w:r>
            <w:r>
              <w:rPr>
                <w:rFonts w:cs="Arial" w:ascii="Arial" w:hAnsi="Arial"/>
                <w:sz w:val="24"/>
              </w:rPr>
              <w:t xml:space="preserve"> </w:t>
            </w:r>
          </w:p>
          <w:p>
            <w:pPr>
              <w:pStyle w:val="Normal"/>
              <w:rPr/>
            </w:pPr>
            <w:r>
              <w:rPr>
                <w:rFonts w:cs="Arial" w:ascii="Arial" w:hAnsi="Arial"/>
                <w:color w:val="000000"/>
                <w:sz w:val="24"/>
              </w:rPr>
              <w:t>828 San Pablo Avenue</w:t>
            </w:r>
            <w:r>
              <w:rPr>
                <w:rFonts w:cs="Arial" w:ascii="Arial" w:hAnsi="Arial"/>
                <w:sz w:val="24"/>
              </w:rPr>
              <w:t xml:space="preserve"> </w:t>
            </w:r>
          </w:p>
          <w:p>
            <w:pPr>
              <w:pStyle w:val="Normal"/>
              <w:rPr/>
            </w:pPr>
            <w:r>
              <w:rPr>
                <w:rFonts w:cs="Arial" w:ascii="Arial" w:hAnsi="Arial"/>
                <w:color w:val="000000"/>
                <w:sz w:val="24"/>
              </w:rPr>
              <w:t>Albany, CA 94706</w:t>
            </w:r>
            <w:r>
              <w:rPr>
                <w:rFonts w:cs="Arial" w:ascii="Arial" w:hAnsi="Arial"/>
                <w:sz w:val="24"/>
              </w:rPr>
              <w:t xml:space="preserve"> </w:t>
            </w:r>
          </w:p>
          <w:p>
            <w:pPr>
              <w:pStyle w:val="Normal"/>
              <w:rPr/>
            </w:pPr>
            <w:r>
              <w:rPr>
                <w:rFonts w:cs="Arial" w:ascii="Arial" w:hAnsi="Arial"/>
                <w:color w:val="000000"/>
                <w:sz w:val="24"/>
              </w:rPr>
              <w:t>tel:  (510) 558-9107</w:t>
            </w:r>
            <w:r>
              <w:rPr>
                <w:rFonts w:cs="Arial" w:ascii="Arial" w:hAnsi="Arial"/>
                <w:sz w:val="24"/>
              </w:rPr>
              <w:t xml:space="preserve"> </w:t>
            </w:r>
          </w:p>
          <w:p>
            <w:pPr>
              <w:pStyle w:val="Normal"/>
              <w:rPr/>
            </w:pPr>
            <w:r>
              <w:rPr>
                <w:rFonts w:cs="Arial" w:ascii="Arial" w:hAnsi="Arial"/>
                <w:color w:val="000000"/>
                <w:sz w:val="24"/>
              </w:rPr>
              <w:t>fax:  (510) 558-9308</w:t>
            </w:r>
            <w:r>
              <w:rPr>
                <w:rFonts w:cs="Arial" w:ascii="Arial" w:hAnsi="Arial"/>
                <w:sz w:val="24"/>
              </w:rPr>
              <w:t xml:space="preserve"> </w:t>
            </w:r>
          </w:p>
          <w:p>
            <w:pPr>
              <w:pStyle w:val="Normal"/>
              <w:rPr>
                <w:rFonts w:ascii="Arial" w:hAnsi="Arial" w:cs="Arial"/>
                <w:sz w:val="24"/>
              </w:rPr>
            </w:pPr>
            <w:r>
              <w:rPr>
                <w:rFonts w:cs="Arial" w:ascii="Arial" w:hAnsi="Arial"/>
                <w:color w:val="000000"/>
                <w:sz w:val="24"/>
              </w:rPr>
              <w:t xml:space="preserve">e-mail:  </w:t>
            </w:r>
            <w:hyperlink r:id="rId10">
              <w:r>
                <w:rPr>
                  <w:rStyle w:val="Hyperlink"/>
                  <w:rFonts w:cs="Arial" w:ascii="Arial" w:hAnsi="Arial"/>
                  <w:sz w:val="24"/>
                </w:rPr>
                <w:t>Chris.King@utility.com</w:t>
              </w:r>
            </w:hyperlink>
          </w:p>
          <w:p>
            <w:pPr>
              <w:pStyle w:val="List"/>
              <w:ind w:hanging="0" w:start="0" w:end="0"/>
              <w:rPr>
                <w:rFonts w:ascii="Arial" w:hAnsi="Arial" w:cs="Arial"/>
                <w:sz w:val="24"/>
              </w:rPr>
            </w:pPr>
            <w:r>
              <w:rPr>
                <w:rFonts w:cs="Arial"/>
                <w:sz w:val="24"/>
              </w:rPr>
            </w:r>
          </w:p>
        </w:tc>
      </w:tr>
    </w:tbl>
    <w:p>
      <w:pPr>
        <w:pStyle w:val="List"/>
        <w:rPr>
          <w:rFonts w:cs="Arial"/>
          <w:sz w:val="24"/>
        </w:rPr>
      </w:pPr>
      <w:r>
        <w:rPr>
          <w:rFonts w:cs="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December 3, 1999</w:t>
      </w:r>
    </w:p>
    <w:sectPr>
      <w:footerReference w:type="default" r:id="rId11"/>
      <w:footerReference w:type="first" r:id="rId12"/>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Biewald, B., Bradford, P., Chernick, P., Geller, S.,  Oppenheim, J. and Woolf, T. 1997. </w:t>
      </w:r>
      <w:r>
        <w:rPr>
          <w:i/>
        </w:rPr>
        <w:t xml:space="preserve">Performance-Based Regulation in a Restructured Electric Industry. </w:t>
      </w:r>
      <w:r>
        <w:rPr/>
        <w:t>Synapse Energy Economics, Inc. (Cambridge, Massachusetts) p. 34.</w:t>
      </w:r>
    </w:p>
  </w:footnote>
  <w:footnote w:id="3">
    <w:p>
      <w:pPr>
        <w:pStyle w:val="FootnoteText"/>
        <w:rPr/>
      </w:pPr>
      <w:r>
        <w:rPr>
          <w:rStyle w:val="FootnoteCharacters"/>
        </w:rPr>
        <w:footnoteRef/>
      </w:r>
      <w:r>
        <w:rPr/>
        <w:t xml:space="preserve"> </w:t>
      </w:r>
      <w:r>
        <w:rPr/>
        <w:t xml:space="preserve">From the start of retail competition on March 1, 1998 through March 31, 1999, only 3,073 of the Commonwealth’s 2,461,883 electric customers switched to a competitive supplier – a switching rate of 0.1%.  Massachusetts Division of Energy Resources, </w:t>
      </w:r>
      <w:r>
        <w:rPr>
          <w:u w:val="single"/>
        </w:rPr>
        <w:t>DOER Report:  1998 Market Monitor</w:t>
      </w:r>
      <w:r>
        <w:rPr/>
        <w:t>, page 33.  The rate was even lower for residential customers.  In the same 13-month period, only 360 of the state’s 2,054,326 residential customers switched to a competitive supplier – a switching rate of 0.02%.</w:t>
      </w:r>
    </w:p>
  </w:footnote>
  <w:footnote w:id="4">
    <w:p>
      <w:pPr>
        <w:pStyle w:val="FootnoteText"/>
        <w:rPr/>
      </w:pPr>
      <w:r>
        <w:rPr>
          <w:rStyle w:val="FootnoteCharacters"/>
        </w:rPr>
        <w:footnoteRef/>
      </w:r>
      <w:r>
        <w:rPr/>
        <w:t xml:space="preserve"> </w:t>
      </w:r>
      <w:r>
        <w:rPr/>
        <w:t>Ibid.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upperLetter"/>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40"/>
      <w:outlineLvl w:val="0"/>
    </w:pPr>
    <w:rPr>
      <w:rFonts w:ascii="Arial" w:hAnsi="Arial" w:cs="Arial"/>
      <w:i/>
      <w:color w:val="000000"/>
      <w:sz w:val="24"/>
    </w:rPr>
  </w:style>
  <w:style w:type="paragraph" w:styleId="Heading2">
    <w:name w:val="heading 2"/>
    <w:basedOn w:val="Normal"/>
    <w:next w:val="Normal"/>
    <w:qFormat/>
    <w:pPr>
      <w:keepNext w:val="true"/>
      <w:numPr>
        <w:ilvl w:val="1"/>
        <w:numId w:val="1"/>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0" w:start="360" w:end="360"/>
      <w:jc w:val="center"/>
      <w:outlineLvl w:val="1"/>
    </w:pPr>
    <w:rPr>
      <w:rFonts w:ascii="Arial" w:hAnsi="Arial" w:cs="Arial"/>
      <w:color w:val="000000"/>
      <w:sz w:val="28"/>
    </w:rPr>
  </w:style>
  <w:style w:type="paragraph" w:styleId="Heading3">
    <w:name w:val="heading 3"/>
    <w:basedOn w:val="Normal"/>
    <w:next w:val="Normal"/>
    <w:qFormat/>
    <w:pPr>
      <w:keepNext w:val="true"/>
      <w:numPr>
        <w:ilvl w:val="2"/>
        <w:numId w:val="1"/>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570" w:leader="none"/>
        <w:tab w:val="left" w:pos="6660" w:leader="none"/>
        <w:tab w:val="left" w:pos="6840" w:leader="none"/>
        <w:tab w:val="left" w:pos="7560" w:leader="none"/>
        <w:tab w:val="left" w:pos="8280" w:leader="none"/>
      </w:tabs>
      <w:ind w:hanging="0" w:start="360" w:end="360"/>
      <w:outlineLvl w:val="2"/>
    </w:pPr>
    <w:rPr>
      <w:rFonts w:ascii="Arial" w:hAnsi="Arial" w:cs="Arial"/>
      <w:sz w:val="28"/>
    </w:rPr>
  </w:style>
  <w:style w:type="paragraph" w:styleId="Heading4">
    <w:name w:val="heading 4"/>
    <w:basedOn w:val="Normal"/>
    <w:next w:val="Normal"/>
    <w:qFormat/>
    <w:pPr>
      <w:keepNext w:val="true"/>
      <w:numPr>
        <w:ilvl w:val="3"/>
        <w:numId w:val="1"/>
      </w:numPr>
      <w:spacing w:lineRule="auto" w:line="360"/>
      <w:outlineLvl w:val="3"/>
    </w:pPr>
    <w:rPr>
      <w:sz w:val="28"/>
    </w:rPr>
  </w:style>
  <w:style w:type="paragraph" w:styleId="Heading5">
    <w:name w:val="heading 5"/>
    <w:basedOn w:val="Normal"/>
    <w:next w:val="Normal"/>
    <w:qFormat/>
    <w:pPr>
      <w:keepNext w:val="true"/>
      <w:numPr>
        <w:ilvl w:val="4"/>
        <w:numId w:val="1"/>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0" w:start="360" w:end="360"/>
      <w:jc w:val="center"/>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0"/>
        <w:numId w:val="3"/>
      </w:numPr>
      <w:spacing w:lineRule="auto" w:line="360"/>
      <w:outlineLvl w:val="6"/>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40" w:before="0" w:after="120"/>
    </w:pPr>
    <w:rPr>
      <w:color w:val="000000"/>
      <w:sz w:val="24"/>
    </w:rPr>
  </w:style>
  <w:style w:type="paragraph" w:styleId="List">
    <w:name w:val="List"/>
    <w:basedOn w:val="Normal"/>
    <w:pPr>
      <w:ind w:hanging="360" w:start="360" w:end="0"/>
    </w:pPr>
    <w:rPr>
      <w:rFonts w:ascii="Arial" w:hAnsi="Arial" w:cs="Arial"/>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40"/>
    </w:pPr>
    <w:rPr>
      <w:color w:val="000000"/>
    </w:rPr>
  </w:style>
  <w:style w:type="paragraph" w:styleId="BodyText3">
    <w:name w:val="Body Text 3"/>
    <w:basedOn w:val="Normal"/>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0" w:start="0" w:end="360"/>
      <w:jc w:val="both"/>
    </w:pPr>
    <w:rPr>
      <w:rFonts w:ascii="Arial" w:hAnsi="Arial" w:cs="Arial"/>
      <w:color w:val="000000"/>
      <w:sz w:val="24"/>
    </w:rPr>
  </w:style>
  <w:style w:type="paragraph" w:styleId="BodyText2">
    <w:name w:val="Body Text 2"/>
    <w:basedOn w:val="Normal"/>
    <w:qFormat/>
    <w:pPr>
      <w:spacing w:lineRule="auto" w:line="360"/>
    </w:pPr>
    <w:rPr>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ListBullet3">
    <w:name w:val="List Bullet 3"/>
    <w:basedOn w:val="Normal"/>
    <w:pPr>
      <w:ind w:hanging="360" w:start="1080" w:end="0"/>
    </w:pPr>
    <w:rPr>
      <w:rFonts w:ascii="Arial" w:hAnsi="Arial" w:cs="Arial"/>
    </w:rPr>
  </w:style>
  <w:style w:type="paragraph" w:styleId="InsideAddress">
    <w:name w:val="Inside Address"/>
    <w:basedOn w:val="Normal"/>
    <w:qFormat/>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mailto:kloebs@newenergy.com" TargetMode="External"/><Relationship Id="rId5" Type="http://schemas.openxmlformats.org/officeDocument/2006/relationships/hyperlink" Target="mailto:snord@enron.com" TargetMode="External"/><Relationship Id="rId6" Type="http://schemas.openxmlformats.org/officeDocument/2006/relationships/hyperlink" Target="mailto:Tom.Bessette@gen.pge.com" TargetMode="External"/><Relationship Id="rId7" Type="http://schemas.openxmlformats.org/officeDocument/2006/relationships/hyperlink" Target="mailto:hitt@greenmountain.com" TargetMode="External"/><Relationship Id="rId8" Type="http://schemas.openxmlformats.org/officeDocument/2006/relationships/hyperlink" Target="mailto:Mduggan@statoilenergy.com" TargetMode="External"/><Relationship Id="rId9" Type="http://schemas.openxmlformats.org/officeDocument/2006/relationships/hyperlink" Target="mailto:sremen@nechoice.com" TargetMode="External"/><Relationship Id="rId10" Type="http://schemas.openxmlformats.org/officeDocument/2006/relationships/hyperlink" Target="mailto:Chis.King@utility.com" TargetMode="Externa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1999-12-03T17:06:00Z</dcterms:created>
  <dc:creator>EndUser</dc:creator>
  <dc:description/>
  <dc:language>en-CA</dc:language>
  <cp:lastModifiedBy>Paul W. Gromer</cp:lastModifiedBy>
  <cp:lastPrinted>1999-12-03T13:16:00Z</cp:lastPrinted>
  <dcterms:modified xsi:type="dcterms:W3CDTF">1999-12-03T17:48:00Z</dcterms:modified>
  <cp:revision>4</cp:revision>
  <dc:subject/>
  <dc:title>State of Massachusetts</dc:title>
</cp:coreProperties>
</file>