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ELECTRICITY FACTS</w:t>
      </w:r>
    </w:p>
    <w:p>
      <w:pPr>
        <w:pStyle w:val="Normal"/>
        <w:numPr>
          <w:ilvl w:val="0"/>
          <w:numId w:val="0"/>
        </w:numPr>
        <w:jc w:val="center"/>
        <w:outlineLvl w:val="0"/>
        <w:rPr>
          <w:b/>
        </w:rPr>
      </w:pPr>
      <w:r>
        <w:rPr>
          <w:b/>
        </w:rPr>
        <w:t>Enron Energy Services, Inc.</w:t>
      </w:r>
    </w:p>
    <w:p>
      <w:pPr>
        <w:pStyle w:val="Normal"/>
        <w:rPr>
          <w:b/>
        </w:rPr>
      </w:pPr>
      <w:r>
        <w:rPr>
          <w:b/>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1260"/>
        <w:gridCol w:w="180"/>
        <w:gridCol w:w="1170"/>
        <w:gridCol w:w="900"/>
        <w:gridCol w:w="360"/>
        <w:gridCol w:w="90"/>
        <w:gridCol w:w="270"/>
        <w:gridCol w:w="108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12"/>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3"/>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different levels of use.  Prices</w:t>
            </w:r>
          </w:p>
        </w:tc>
        <w:tc>
          <w:tcPr>
            <w:tcW w:w="1890" w:type="dxa"/>
            <w:gridSpan w:val="3"/>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do not include regulated</w:t>
            </w:r>
          </w:p>
        </w:tc>
        <w:tc>
          <w:tcPr>
            <w:tcW w:w="7290" w:type="dxa"/>
            <w:gridSpan w:val="12"/>
            <w:tcBorders>
              <w:top w:val="single" w:sz="6" w:space="0" w:color="000000"/>
              <w:start w:val="single" w:sz="6" w:space="0" w:color="000000"/>
              <w:end w:val="single" w:sz="24" w:space="0" w:color="000000"/>
            </w:tcBorders>
          </w:tcPr>
          <w:p>
            <w:pPr>
              <w:pStyle w:val="Normal"/>
              <w:tabs>
                <w:tab w:val="clear" w:pos="720"/>
                <w:tab w:val="decimal" w:pos="342" w:leader="none"/>
              </w:tabs>
              <w:jc w:val="both"/>
              <w:rPr>
                <w:sz w:val="16"/>
              </w:rPr>
            </w:pPr>
            <w:r>
              <w:rPr/>
              <w:t>Your average generation price will vary according to when and how much electricity</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charges for customer service</w:t>
            </w:r>
          </w:p>
        </w:tc>
        <w:tc>
          <w:tcPr>
            <w:tcW w:w="7290" w:type="dxa"/>
            <w:gridSpan w:val="12"/>
            <w:tcBorders>
              <w:start w:val="single" w:sz="6" w:space="0" w:color="000000"/>
              <w:end w:val="single" w:sz="24" w:space="0" w:color="000000"/>
            </w:tcBorders>
          </w:tcPr>
          <w:p>
            <w:pPr>
              <w:pStyle w:val="Normal"/>
              <w:tabs>
                <w:tab w:val="clear" w:pos="720"/>
                <w:tab w:val="decimal" w:pos="342" w:leader="none"/>
              </w:tabs>
              <w:jc w:val="both"/>
              <w:rPr>
                <w:sz w:val="16"/>
              </w:rPr>
            </w:pPr>
            <w:r>
              <w:rPr/>
              <w:t>you consume.  See your most recent bill for your monthly use and your Terms of</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and delivery.</w:t>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6"/>
              </w:rPr>
            </w:pPr>
            <w:r>
              <w:rPr/>
              <w:t>Service for the actual prices.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7290" w:type="dxa"/>
            <w:gridSpan w:val="12"/>
            <w:tcBorders>
              <w:start w:val="single" w:sz="6" w:space="0" w:color="000000"/>
              <w:bottom w:val="single" w:sz="6" w:space="0" w:color="000000"/>
              <w:end w:val="single" w:sz="24" w:space="0" w:color="000000"/>
            </w:tcBorders>
          </w:tcPr>
          <w:p>
            <w:pPr>
              <w:pStyle w:val="Normal"/>
              <w:tabs>
                <w:tab w:val="clear" w:pos="720"/>
                <w:tab w:val="decimal" w:pos="342" w:leader="none"/>
              </w:tabs>
              <w:snapToGrid w:val="false"/>
              <w:rPr>
                <w:color w:val="FFFFFF"/>
              </w:rPr>
            </w:pPr>
            <w:r>
              <w:rPr>
                <w:color w:val="FFFFFF"/>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4"/>
            <w:tcBorders>
              <w:top w:val="single" w:sz="24" w:space="0" w:color="000000"/>
              <w:start w:val="single" w:sz="6" w:space="0" w:color="000000"/>
              <w:bottom w:val="single" w:sz="24" w:space="0" w:color="000000"/>
              <w:end w:val="single" w:sz="6" w:space="0" w:color="000000"/>
            </w:tcBorders>
          </w:tcPr>
          <w:p>
            <w:pPr>
              <w:pStyle w:val="Normal"/>
              <w:snapToGrid w:val="false"/>
              <w:rPr/>
            </w:pPr>
            <w:r>
              <w:rPr/>
            </w:r>
          </w:p>
          <w:p>
            <w:pPr>
              <w:pStyle w:val="Normal"/>
              <w:numPr>
                <w:ilvl w:val="0"/>
                <w:numId w:val="4"/>
              </w:numPr>
              <w:rPr/>
            </w:pPr>
            <w:r>
              <w:rPr/>
              <w:t>60 Months</w:t>
            </w:r>
          </w:p>
        </w:tc>
        <w:tc>
          <w:tcPr>
            <w:tcW w:w="5220" w:type="dxa"/>
            <w:gridSpan w:val="8"/>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napToGrid w:val="false"/>
              <w:rPr/>
            </w:pPr>
            <w:r>
              <w:rPr/>
            </w:r>
          </w:p>
          <w:p>
            <w:pPr>
              <w:pStyle w:val="Normal"/>
              <w:numPr>
                <w:ilvl w:val="0"/>
                <w:numId w:val="3"/>
              </w:numPr>
              <w:rPr/>
            </w:pPr>
            <w:r>
              <w:rPr/>
              <w:t>Contract Terms:  Fixed price, with variable components, over contract period.</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2"/>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4"/>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Demand for electricity</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 xml:space="preserve">from all Enron Energy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Marketing Corp. customers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in the period 10/1/00 to</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Net Interchange</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15%</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15%</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12/31/00 was met by generation</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15%</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15%</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from the following 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23%</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Other Renewable</w:t>
            </w:r>
            <w:r>
              <w:rPr>
                <w:rStyle w:val="FootnoteCharacters"/>
                <w:rStyle w:val="FootnoteReference"/>
              </w:rPr>
              <w:footnoteReference w:id="2"/>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8%</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rHeight w:val="327"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Air Emissions</w:t>
            </w:r>
          </w:p>
        </w:tc>
        <w:tc>
          <w:tcPr>
            <w:tcW w:w="7290" w:type="dxa"/>
            <w:gridSpan w:val="12"/>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tab/>
              <w:tab/>
            </w:r>
            <w:r>
              <w:rPr>
                <w:b/>
              </w:rPr>
              <w:tab/>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Carbon dioxide (CO</w:t>
            </w:r>
            <w:r>
              <w:rPr>
                <w:vertAlign w:val="subscript"/>
              </w:rPr>
              <w:t>2</w:t>
            </w:r>
            <w:r>
              <w:rPr/>
              <w:t>),</w:t>
            </w:r>
          </w:p>
        </w:tc>
        <w:tc>
          <w:tcPr>
            <w:tcW w:w="630" w:type="dxa"/>
            <w:gridSpan w:val="2"/>
            <w:tcBorders>
              <w:start w:val="single" w:sz="6" w:space="0" w:color="000000"/>
            </w:tcBorders>
          </w:tcPr>
          <w:p>
            <w:pPr>
              <w:pStyle w:val="Normal"/>
              <w:snapToGrid w:val="false"/>
              <w:rPr/>
            </w:pPr>
            <w:r>
              <w:rPr/>
            </w:r>
          </w:p>
        </w:tc>
        <w:tc>
          <w:tcPr>
            <w:tcW w:w="3870" w:type="dxa"/>
            <w:gridSpan w:val="5"/>
            <w:tcBorders>
              <w:top w:val="single" w:sz="4" w:space="0" w:color="000000"/>
              <w:start w:val="single" w:sz="2" w:space="0" w:color="000000"/>
              <w:end w:val="single" w:sz="24" w:space="0" w:color="000000"/>
            </w:tcBorders>
          </w:tcPr>
          <w:p>
            <w:pPr>
              <w:pStyle w:val="Normal"/>
              <w:snapToGrid w:val="false"/>
              <w:rPr/>
            </w:pPr>
            <w:r>
              <w:rPr/>
            </w:r>
          </w:p>
        </w:tc>
        <w:tc>
          <w:tcPr>
            <w:tcW w:w="360" w:type="dxa"/>
            <w:gridSpan w:val="2"/>
            <w:tcBorders>
              <w:top w:val="single" w:sz="4" w:space="0" w:color="000000"/>
            </w:tcBorders>
          </w:tcPr>
          <w:p>
            <w:pPr>
              <w:pStyle w:val="Normal"/>
              <w:snapToGrid w:val="false"/>
              <w:rPr/>
            </w:pPr>
            <w:r>
              <w:rPr/>
            </w:r>
          </w:p>
        </w:tc>
        <w:tc>
          <w:tcPr>
            <w:tcW w:w="2070" w:type="dxa"/>
            <w:gridSpan w:val="2"/>
            <w:tcBorders>
              <w:top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5"/>
            <w:tcBorders>
              <w:start w:val="single" w:sz="6" w:space="0" w:color="000000"/>
              <w:bottom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sulfur dioxide (SO</w:t>
            </w:r>
            <w:r>
              <w:rPr>
                <w:vertAlign w:val="subscript"/>
              </w:rPr>
              <w:t>2</w:t>
            </w:r>
            <w:r>
              <w:rPr/>
              <w:t>) emission</w:t>
            </w:r>
          </w:p>
        </w:tc>
        <w:tc>
          <w:tcPr>
            <w:tcW w:w="630" w:type="dxa"/>
            <w:gridSpan w:val="2"/>
            <w:tcBorders>
              <w:start w:val="single" w:sz="6" w:space="0" w:color="000000"/>
            </w:tcBorders>
          </w:tcPr>
          <w:p>
            <w:pPr>
              <w:pStyle w:val="Normal"/>
              <w:snapToGrid w:val="false"/>
              <w:rPr/>
            </w:pPr>
            <w:r>
              <w:rPr/>
            </w:r>
          </w:p>
        </w:tc>
        <w:tc>
          <w:tcPr>
            <w:tcW w:w="3870" w:type="dxa"/>
            <w:gridSpan w:val="5"/>
            <w:tcBorders>
              <w:top w:val="single" w:sz="6" w:space="0" w:color="000000"/>
              <w:start w:val="single" w:sz="2" w:space="0" w:color="000000"/>
              <w:bottom w:val="single" w:sz="2"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3870" w:type="dxa"/>
            <w:gridSpan w:val="5"/>
            <w:tcBorders>
              <w:start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start w:val="single" w:sz="6"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bottom w:val="single" w:sz="6" w:space="0" w:color="000000"/>
              <w:end w:val="single" w:sz="6" w:space="0" w:color="000000"/>
            </w:tcBorders>
            <w:shd w:fill="000000" w:val="clear"/>
          </w:tcPr>
          <w:p>
            <w:pPr>
              <w:pStyle w:val="Normal"/>
              <w:rPr/>
            </w:pPr>
            <w:r>
              <w:rPr/>
              <w:t>and to the emission rates</w: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3870" w:type="dxa"/>
            <w:gridSpan w:val="5"/>
            <w:tcBorders>
              <w:start w:val="single" w:sz="6" w:space="0" w:color="000000"/>
              <w:bottom w:val="single" w:sz="4"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bottom w:val="single" w:sz="4" w:space="0" w:color="000000"/>
            </w:tcBorders>
          </w:tcPr>
          <w:p>
            <w:pPr>
              <w:pStyle w:val="Normal"/>
              <w:snapToGrid w:val="false"/>
              <w:rPr/>
            </w:pPr>
            <w:r>
              <w:rPr/>
            </w:r>
          </w:p>
        </w:tc>
        <w:tc>
          <w:tcPr>
            <w:tcW w:w="2070" w:type="dxa"/>
            <w:gridSpan w:val="2"/>
            <w:tcBorders>
              <w:bottom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rPr/>
            </w:pPr>
            <w:r>
              <w:rPr/>
              <w:t>of a new generating unit.</w:t>
            </w:r>
          </w:p>
        </w:tc>
        <w:tc>
          <w:tcPr>
            <w:tcW w:w="7290" w:type="dxa"/>
            <w:gridSpan w:val="12"/>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c>
          <w:tcPr>
            <w:tcW w:w="2700" w:type="dxa"/>
            <w:tcBorders>
              <w:top w:val="single" w:sz="24" w:space="0" w:color="FFFFFF"/>
              <w:start w:val="single" w:sz="24" w:space="0" w:color="000000"/>
              <w:end w:val="single" w:sz="6" w:space="0" w:color="000000"/>
            </w:tcBorders>
            <w:shd w:fill="000000" w:val="clear"/>
          </w:tcPr>
          <w:p>
            <w:pPr>
              <w:pStyle w:val="Normal"/>
              <w:snapToGrid w:val="false"/>
              <w:rPr>
                <w:b/>
              </w:rPr>
            </w:pPr>
            <w:r>
              <w:rPr>
                <w:b/>
              </w:rPr>
            </w:r>
          </w:p>
          <w:p>
            <w:pPr>
              <w:pStyle w:val="Normal"/>
              <w:rPr/>
            </w:pPr>
            <w:r>
              <w:rPr/>
            </w:r>
          </w:p>
          <w:p>
            <w:pPr>
              <w:pStyle w:val="Normal"/>
              <w:rPr>
                <w:sz w:val="32"/>
              </w:rPr>
            </w:pPr>
            <w:r>
              <w:rPr>
                <w:sz w:val="32"/>
              </w:rPr>
              <w:t>Labor</w:t>
            </w:r>
          </w:p>
          <w:p>
            <w:pPr>
              <w:pStyle w:val="Normal"/>
              <w:rPr>
                <w:sz w:val="32"/>
              </w:rPr>
            </w:pPr>
            <w:r>
              <w:rPr>
                <w:sz w:val="32"/>
              </w:rPr>
              <w:t>Information</w:t>
            </w:r>
          </w:p>
          <w:p>
            <w:pPr>
              <w:pStyle w:val="Normal"/>
              <w:rPr/>
            </w:pPr>
            <w:r>
              <w:rPr/>
            </w:r>
          </w:p>
          <w:p>
            <w:pPr>
              <w:pStyle w:val="Normal"/>
              <w:rPr/>
            </w:pPr>
            <w:r>
              <w:rPr/>
            </w:r>
          </w:p>
        </w:tc>
        <w:tc>
          <w:tcPr>
            <w:tcW w:w="7290" w:type="dxa"/>
            <w:gridSpan w:val="12"/>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rPr/>
            </w:pPr>
            <w:r>
              <w:rPr/>
              <w:t xml:space="preserve">System mix has been provided. Please refer to the New England ISO labor information posted at </w:t>
            </w:r>
            <w:r>
              <w:rPr>
                <w:u w:val="single"/>
              </w:rPr>
              <w:t>www.iso-ne.com</w:t>
            </w:r>
            <w:r>
              <w:rPr/>
              <w:t>.</w:t>
            </w:r>
          </w:p>
        </w:tc>
      </w:tr>
      <w:tr>
        <w:trPr/>
        <w:tc>
          <w:tcPr>
            <w:tcW w:w="9990" w:type="dxa"/>
            <w:gridSpan w:val="13"/>
            <w:tcBorders>
              <w:top w:val="single" w:sz="24" w:space="0" w:color="000000"/>
              <w:start w:val="single" w:sz="24" w:space="0" w:color="000000"/>
              <w:bottom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 xml:space="preserve"> in the period 10/1/00 to 12/31/00.</w:t>
            </w:r>
          </w:p>
          <w:p>
            <w:pPr>
              <w:pStyle w:val="Normal"/>
              <w:numPr>
                <w:ilvl w:val="0"/>
                <w:numId w:val="2"/>
              </w:numPr>
              <w:tabs>
                <w:tab w:val="clear" w:pos="720"/>
                <w:tab w:val="decimal" w:pos="342" w:leader="none"/>
              </w:tabs>
              <w:jc w:val="both"/>
              <w:rPr/>
            </w:pPr>
            <w:r>
              <w:rPr/>
              <w:t>See reverse side and your contract terms and conditions for further information on this label.  You may also call Enron Energy Services, Inc. at  877-358-3006 or the Massachusetts Department of Telecommunications and Energy at 617-305-3500.</w:t>
            </w:r>
          </w:p>
          <w:p>
            <w:pPr>
              <w:pStyle w:val="Normal"/>
              <w:numPr>
                <w:ilvl w:val="0"/>
                <w:numId w:val="2"/>
              </w:numPr>
              <w:tabs>
                <w:tab w:val="clear" w:pos="720"/>
                <w:tab w:val="decimal" w:pos="-18" w:leader="none"/>
              </w:tabs>
              <w:jc w:val="both"/>
              <w:rPr/>
            </w:pPr>
            <w:r>
              <w:rPr/>
              <w:t>This label is being provided to you per Massachusetts Rule 220 CMR 11.06.</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Other Renewable Resources includes fuel cells utilizing renewable fuel sources, landfill gas, and ocean thermal.</w:t>
      </w:r>
    </w:p>
    <w:p>
      <w:pPr>
        <w:pStyle w:val="Normal"/>
        <w:rPr/>
      </w:pPr>
      <w:r>
        <w:rPr/>
      </w:r>
    </w:p>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fossil fuels (e.g., coal, oil and natural gas) are burned.  Carbon dioxide, a greenhouse gas, is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fossil fuels and biomass are burned at high temperatures.  They contribute to acid rain and ground-level ozone (or smog), and may cause respiratory illness in children with frequent high level exposure. NO</w:t>
      </w:r>
      <w:r>
        <w:rPr>
          <w:sz w:val="24"/>
          <w:vertAlign w:val="subscript"/>
        </w:rPr>
        <w:t xml:space="preserve">x </w:t>
      </w:r>
      <w:r>
        <w:rPr>
          <w:sz w:val="24"/>
        </w:rPr>
        <w:t>also contribute to oxygen deprivation of lakes and coastal waters which is destructive to fish and other animal life.</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primarily coal and oil.  Major health effects associated with SO</w:t>
      </w:r>
      <w:r>
        <w:rPr>
          <w:sz w:val="24"/>
          <w:vertAlign w:val="subscript"/>
        </w:rPr>
        <w:t>2</w:t>
      </w:r>
      <w:r>
        <w:rPr>
          <w:sz w:val="24"/>
        </w:rPr>
        <w:t xml:space="preserve"> include asthma, respiratory illness and aggravation of existing cardiovascular disease.  SO</w:t>
      </w:r>
      <w:r>
        <w:rPr>
          <w:sz w:val="24"/>
          <w:vertAlign w:val="subscript"/>
        </w:rPr>
        <w:t>2</w:t>
      </w:r>
      <w:r>
        <w:rPr>
          <w:sz w:val="24"/>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4"/>
          <w:u w:val="single"/>
        </w:rPr>
      </w:pPr>
      <w:r>
        <w:rPr>
          <w:sz w:val="24"/>
          <w:u w:val="single"/>
        </w:rPr>
      </w:r>
    </w:p>
    <w:p>
      <w:pPr>
        <w:pStyle w:val="Normal"/>
        <w:ind w:hanging="720" w:start="720" w:end="0"/>
        <w:jc w:val="both"/>
        <w:rPr/>
      </w:pPr>
      <w:r>
        <w:rPr>
          <w:b/>
          <w:sz w:val="24"/>
          <w:u w:val="single"/>
        </w:rPr>
        <w:t>Labor Data</w:t>
      </w:r>
      <w:r>
        <w:rPr>
          <w:sz w:val="24"/>
        </w:rPr>
        <w:t>:</w:t>
      </w:r>
    </w:p>
    <w:p>
      <w:pPr>
        <w:pStyle w:val="BodyText2"/>
        <w:rPr/>
      </w:pPr>
      <w:r>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Normal"/>
        <w:rPr/>
      </w:pPr>
      <w:r>
        <w:rPr/>
      </w:r>
    </w:p>
    <w:sectPr>
      <w:footnotePr>
        <w:numFmt w:val="decimal"/>
      </w:footnote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3z0">
    <w:name w:val="WW8Num3z0"/>
    <w:qFormat/>
    <w:rPr>
      <w:rFonts w:ascii="Symbol" w:hAnsi="Symbol" w:cs="Symbol"/>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2001-03-21T22:38:00Z</dcterms:created>
  <dc:creator>iwaser</dc:creator>
  <dc:description/>
  <dc:language>en-CA</dc:language>
  <cp:lastModifiedBy>Allison McHenry</cp:lastModifiedBy>
  <cp:lastPrinted>2001-03-23T08:38:00Z</cp:lastPrinted>
  <dcterms:modified xsi:type="dcterms:W3CDTF">2001-03-23T12:10:00Z</dcterms:modified>
  <cp:revision>5</cp:revision>
  <dc:subject/>
  <dc:title>Generation</dc:title>
</cp:coreProperties>
</file>