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jc w:val="end"/>
        <w:rPr>
          <w:u w:val="none"/>
        </w:rPr>
      </w:pPr>
      <w:r>
        <w:rPr>
          <w:u w:val="none"/>
        </w:rPr>
        <w:t>[G-P Draft -- 09/14/01]</w:t>
      </w:r>
    </w:p>
    <w:p>
      <w:pPr>
        <w:pStyle w:val="Normal"/>
        <w:rPr>
          <w:u w:val="none"/>
        </w:rPr>
      </w:pPr>
      <w:r>
        <w:rPr>
          <w:u w:val="none"/>
        </w:rPr>
      </w:r>
    </w:p>
    <w:p>
      <w:pPr>
        <w:pStyle w:val="Normal"/>
        <w:rPr/>
      </w:pPr>
      <w:r>
        <w:rPr/>
      </w:r>
    </w:p>
    <w:p>
      <w:pPr>
        <w:pStyle w:val="Heading5"/>
        <w:rPr/>
      </w:pPr>
      <w:r>
        <w:rPr/>
        <w:t>MATERIAL SPREADING  AGREEMENT</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pPr>
      <w:r>
        <w:rPr>
          <w:sz w:val="24"/>
        </w:rPr>
        <w:tab/>
      </w:r>
      <w:r>
        <w:rPr>
          <w:rFonts w:cs="Arial" w:ascii="Arial" w:hAnsi="Arial"/>
          <w:sz w:val="24"/>
        </w:rPr>
        <w:t xml:space="preserve">THIS AGREEMENT, made and effective as of the First day of September, 2001 (the “Effective Date”), between </w:t>
      </w:r>
      <w:r>
        <w:rPr>
          <w:rFonts w:cs="Arial" w:ascii="Arial" w:hAnsi="Arial"/>
          <w:b/>
          <w:sz w:val="24"/>
        </w:rPr>
        <w:t>GEORGIA-PACIFIC CORPORATION</w:t>
      </w:r>
      <w:r>
        <w:rPr>
          <w:rFonts w:cs="Arial" w:ascii="Arial" w:hAnsi="Arial"/>
          <w:sz w:val="24"/>
        </w:rPr>
        <w:t xml:space="preserve">, a Georgia corporation, having its headquarters at 133 Peachtree Street, N. E., Atlanta, GA  30303 (hereinafter called “G-P”), and </w:t>
      </w:r>
      <w:r>
        <w:rPr>
          <w:rFonts w:cs="Arial" w:ascii="Arial" w:hAnsi="Arial"/>
          <w:b/>
          <w:sz w:val="24"/>
        </w:rPr>
        <w:t>NORTH AMERICAN TIMBER CORP</w:t>
      </w:r>
      <w:r>
        <w:rPr>
          <w:rFonts w:cs="Arial" w:ascii="Arial" w:hAnsi="Arial"/>
          <w:sz w:val="24"/>
        </w:rPr>
        <w:t>., a Delaware corporation, having its headquarters at 100  Peachtree Street, N. W., Suite 2650, Atlanta, GA  30303 (hereinafter called “NATC”).</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tab/>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center"/>
        <w:rPr>
          <w:rFonts w:ascii="Arial" w:hAnsi="Arial" w:cs="Arial"/>
          <w:sz w:val="24"/>
        </w:rPr>
      </w:pPr>
      <w:r>
        <w:rPr>
          <w:rFonts w:cs="Arial" w:ascii="Arial" w:hAnsi="Arial"/>
          <w:b/>
          <w:sz w:val="24"/>
        </w:rPr>
        <w:t>W I T N E S S E T H:</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pPr>
      <w:r>
        <w:rPr>
          <w:rFonts w:eastAsia="Arial" w:cs="Arial" w:ascii="Arial" w:hAnsi="Arial"/>
          <w:b/>
          <w:sz w:val="24"/>
        </w:rPr>
        <w:t xml:space="preserve">    </w:t>
      </w:r>
      <w:r>
        <w:rPr>
          <w:rFonts w:cs="Arial" w:ascii="Arial" w:hAnsi="Arial"/>
          <w:b/>
          <w:sz w:val="24"/>
        </w:rPr>
        <w:tab/>
        <w:t xml:space="preserve"> WHEREAS</w:t>
      </w:r>
      <w:r>
        <w:rPr>
          <w:rFonts w:cs="Arial" w:ascii="Arial" w:hAnsi="Arial"/>
          <w:sz w:val="24"/>
        </w:rPr>
        <w:t xml:space="preserve">, NATC owns certain real property in Perry, Greene, Wayne, Jones, Lamar and Forrest Counties, Mississippi; and,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pPr>
      <w:r>
        <w:rPr>
          <w:rFonts w:eastAsia="Arial" w:cs="Arial" w:ascii="Arial" w:hAnsi="Arial"/>
          <w:b/>
          <w:sz w:val="24"/>
        </w:rPr>
        <w:t xml:space="preserve">   </w:t>
      </w:r>
      <w:r>
        <w:rPr>
          <w:rFonts w:cs="Arial" w:ascii="Arial" w:hAnsi="Arial"/>
          <w:b/>
          <w:sz w:val="24"/>
        </w:rPr>
        <w:tab/>
        <w:t xml:space="preserve">  WHEREAS</w:t>
      </w:r>
      <w:r>
        <w:rPr>
          <w:rFonts w:cs="Arial" w:ascii="Arial" w:hAnsi="Arial"/>
          <w:sz w:val="24"/>
        </w:rPr>
        <w:t xml:space="preserve">, G-P generates certain mill ash and combined pulpmill sludge (“CPMS”) (collectively the “Material“) at the pulp mill operated by its indirect, wholly owned subsidiary, Leaf River Forest Products, Inc. (“LRFP”), located at or near New Augusta, Mississippi (the “Leaf River Mill”), which it must dispose of; and,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pPr>
      <w:r>
        <w:rPr>
          <w:rFonts w:eastAsia="Arial" w:cs="Arial" w:ascii="Arial" w:hAnsi="Arial"/>
          <w:b/>
          <w:sz w:val="24"/>
        </w:rPr>
        <w:t xml:space="preserve">     </w:t>
      </w:r>
      <w:r>
        <w:rPr>
          <w:rFonts w:cs="Arial" w:ascii="Arial" w:hAnsi="Arial"/>
          <w:b/>
          <w:sz w:val="24"/>
        </w:rPr>
        <w:tab/>
        <w:t>WHEREAS</w:t>
      </w:r>
      <w:r>
        <w:rPr>
          <w:rFonts w:cs="Arial" w:ascii="Arial" w:hAnsi="Arial"/>
          <w:sz w:val="24"/>
        </w:rPr>
        <w:t>, G-P is willing to deliver, spread and incorporate the Material into the soil on property owned and designated by NATC as hereinafter specified; and,</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pPr>
      <w:r>
        <w:rPr>
          <w:rFonts w:cs="Arial" w:ascii="Arial" w:hAnsi="Arial"/>
          <w:b/>
          <w:sz w:val="24"/>
        </w:rPr>
        <w:tab/>
        <w:t>WHEREAS</w:t>
      </w:r>
      <w:r>
        <w:rPr>
          <w:rFonts w:cs="Arial" w:ascii="Arial" w:hAnsi="Arial"/>
          <w:sz w:val="24"/>
        </w:rPr>
        <w:t>, NATC is willing to receive, accept, take title to, and use as fertilizer, the Material upon the terms and conditions hereinafter stated.</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pPr>
      <w:r>
        <w:rPr>
          <w:rFonts w:eastAsia="Arial" w:cs="Arial" w:ascii="Arial" w:hAnsi="Arial"/>
          <w:b/>
          <w:sz w:val="24"/>
        </w:rPr>
        <w:t xml:space="preserve">     </w:t>
      </w:r>
      <w:r>
        <w:rPr>
          <w:rFonts w:cs="Arial" w:ascii="Arial" w:hAnsi="Arial"/>
          <w:b/>
          <w:sz w:val="24"/>
        </w:rPr>
        <w:tab/>
        <w:t>NOW, THEREFORE</w:t>
      </w:r>
      <w:r>
        <w:rPr>
          <w:rFonts w:cs="Arial" w:ascii="Arial" w:hAnsi="Arial"/>
          <w:sz w:val="24"/>
        </w:rPr>
        <w:t>, for and in the consideration of the mutual promises and covenants herein contained, the parties agree as follows:</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start="450"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G-P agrees to deliver or cause to be delivered to NATC'S property, and NATC agrees to take possession of and title to, the Material, which is a by-product of the Leaf River Mill’s manufacturing operations, subject to the terms and conditions of this Agreement.  Application rates will be prescribed by NATC based on soil drainage class, stand condition or type not to exceed the maximum allowed by the Mississippi State Department of Environmental Quality (“DEQ”).</w:t>
      </w:r>
    </w:p>
    <w:p>
      <w:pPr>
        <w:pStyle w:val="Normal"/>
        <w:tabs>
          <w:tab w:val="left" w:pos="540" w:leader="none"/>
          <w:tab w:val="left" w:pos="720" w:leader="none"/>
          <w:tab w:val="left" w:pos="810" w:leader="none"/>
          <w:tab w:val="left" w:pos="1440" w:leader="none"/>
          <w:tab w:val="left" w:pos="2160" w:leader="none"/>
          <w:tab w:val="left" w:pos="2880" w:leader="none"/>
          <w:tab w:val="left" w:pos="3600" w:leader="none"/>
          <w:tab w:val="left" w:pos="4320" w:leader="none"/>
        </w:tabs>
        <w:spacing w:lineRule="atLeast" w:line="240"/>
        <w:ind w:firstLine="450"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 xml:space="preserve">It is agreed that G-P will haul, or contract to have hauled at its own expense, the Material to real property owned and designated by NATC from time to time during the term of this Agreement.  NATC agrees that it will designate an average of 120 acres per month within a 50 mile radius of the Leaf River Mill to satisfy G-P’s desire to deliver the Material based on an estimated average annual production by the Leaf River Mill of 1,500 dry tons per month of CPMS and 833 dry tons per month of ash.   NATC will annually provide a list of tracts projected for treatment in the following year to allow G-P sufficient time to obtain the proper permits.  G-P acknowledges and agrees that this list may be modified or amended at any time by NATC.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 xml:space="preserve">NATC warrants to G-P that NATC owns or has sufficient estate in the lands upon which the Material is to be spread, to permit and authorize the spreading of the Material upon said land, and that for this purpose, NATC grants G-P the right, privilege and permission to come upon the above-described lands for the purpose of depositing the Material.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trike/>
          <w:sz w:val="24"/>
        </w:rPr>
      </w:pPr>
      <w:r>
        <w:rPr>
          <w:rFonts w:cs="Arial" w:ascii="Arial" w:hAnsi="Arial"/>
          <w:sz w:val="24"/>
        </w:rPr>
        <w:t>G-P agrees that prior to spreading the Material on tracts designated by NATC, it will prepare such tracts, silviculturally necessary prescribed by NATC’s forester, G-P will then spread the Material on each such tract at the rate prescribed by NATC’s forester (not to exceed the spread rates under any applicable permit issued by the DEQ).  G-P further agrees to incorporate the Material into the soil by bedding or combo-plowing (depending on soil drainage class as prescribed by NATC’s forester) within 7 days following application.  G-P shall complete the treatment of entire tracts in a timely manner.</w:t>
      </w:r>
    </w:p>
    <w:p>
      <w:pPr>
        <w:pStyle w:val="Normal"/>
        <w:tabs>
          <w:tab w:val="clear" w:pos="720"/>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trike/>
          <w:sz w:val="24"/>
        </w:rPr>
      </w:pPr>
      <w:r>
        <w:rPr>
          <w:rFonts w:cs="Arial" w:ascii="Arial" w:hAnsi="Arial"/>
          <w:strike/>
          <w:sz w:val="24"/>
        </w:rP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G-P shall pay all costs of loading, transporting, unloading, spreading and incorporating the Material on NATC’s tracts, in accordance with the provisions of this Agreement.  NATC will pay no fees to G-P.</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firstLine="450"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 xml:space="preserve">G-P shall have the sole and exclusive responsibility for loading, transporting, spreading and incorporating the Material into the soil. G-P shall provide suitable equipment for the transporting, handling and use of the Material in accordance with said laws, regulations and ordinances.  All loading pads will be completely cleaned up and Material spread on each tract evenly and such loading pads will be seeded in thinned stands.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G-P represents and warrants that it will comply with all Federal, state and local laws, statutes, orders, ordinances, rules and regulations covering its operations with respect to the Material.  G-P further represents and warrants that it will comply with all applicable Federal, state and local laws, statutes, orders, ordinances, rules and regulations, presently in effect as of the date of this Agreement or hereinafter enacted, with respect to its activities under this Agreement; including any state Best Management Practices for forestry operations, and that during the term of this Agreement, it will obtain all valid and proper permits, licenses, certificates and approvals required under applicable Federal, state and local laws, statues, orders, ordinances, rules and regulations necessary for it to perform its duties and obligations under this Agreement.</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eastAsia="Arial" w:cs="Arial" w:ascii="Arial" w:hAnsi="Arial"/>
          <w:sz w:val="24"/>
        </w:rPr>
        <w:t xml:space="preserve"> </w:t>
      </w:r>
      <w:r>
        <w:rPr>
          <w:rFonts w:cs="Arial" w:ascii="Arial" w:hAnsi="Arial"/>
          <w:sz w:val="24"/>
        </w:rPr>
        <w:t xml:space="preserve">G-P will repair any site damage resulting from application of Material and repair any roads damaged by itself or its contractors in transporting the Material under this Agreement.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G-P agrees that it will purchase and accept delivery of pulpwood and timber from tracts which have, or will be, treated with the Material on terms and conditions no less favorable than those associated with the purchase of similar timber and pulpwood from untreated tracts.</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G-P hereby warrants and represents that the Material contains only the contents and constituents described in the attached Exhibit A, and that the Material will not contain Hazardous Materials as hereinafter defined and agrees to indemnify and save harmless NATC, its present or future officers or directors or officials, employees and agents, from and against any and all liabilities, penalties, fines, forfeitures, demands, claims, causes of action, suits, costs, and expenses incidental thereto, including cost of defenses, settlement and attorneys’ fees, which any or all of them may hereinafter suffer, incur, be responsible for, pay out as a result of contamination or adverse affects on the environment, any violation or alleged violation of statues, ordinances, rules, orders, or regulations of any governmental entity or agency, presently in effect as of the date of this Agreement or hereinafter enacted or promulgated, directly or indirectly caused or arising out of the breach of the representations and warranties of G-P. For the purpose of this Agreement the term Hazardous Materials shall mean any substance, material, waste, gas, or particulate matter that is regulated by any local governmental authority, the State of Mississippi or the United States Government, including, but not limited to, any material or substance that is: Defined as “hazardous waste,” “hazardous material,” “hazardous substance,” “extremely hazardous waste,” or “restricted hazardous waste” under any provision of state or local law; (ii) Petroleum; (iii) Asbestos; (iv) Polychlorinated biphenyl; (v) Radioactive material; (vi) designated as a “hazardous substance” by section 311 of the Clean Water Act, 33 U.S.C. §1251 et seq. (33 U.S.C. §1317); (vii) defined as a “hazardous waste” pursuant to section 1004 of the Resource Conservation and Recovery Act, 42 U.S.C. §6901 et. seq. (42 U.S.C. §6903); or (viii) Defined as a “hazardous substance” pursuant to section 101 of the Comprehensive Environmental Response, Compensation, and Liability Act, 42 U.S.C. §9601 et. seq. (42 U.S.C. §9601). The indemnities contained herein shall survive the expiration or termination of this Agreement.</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Nothing in this Agreement shall be construed as a contract for disposal of waste products or materials nor as constituting arranging for disposal of waste products or materials.</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numPr>
          <w:ilvl w:val="0"/>
          <w:numId w:val="2"/>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rFonts w:ascii="Arial" w:hAnsi="Arial" w:cs="Arial"/>
          <w:sz w:val="24"/>
        </w:rPr>
      </w:pPr>
      <w:r>
        <w:rPr>
          <w:rFonts w:cs="Arial" w:ascii="Arial" w:hAnsi="Arial"/>
          <w:sz w:val="24"/>
        </w:rPr>
        <w:t xml:space="preserve">Any notices permitted or required to be given by either party to the other pursuant to this Agreement or related hereto shall be in writing and be sent by overnight courier service or Certified U.S. Mail (return receipt requested) postage prepaid, addressed as shown below, unless otherwise specified in this Agreement, or to such other address as may be designated in writing hereafter for itself by either party.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rPr>
      </w:pPr>
      <w:r>
        <w:rPr>
          <w:rFonts w:cs="Arial" w:ascii="Arial" w:hAnsi="Arial"/>
          <w:sz w:val="24"/>
        </w:rPr>
      </w:r>
    </w:p>
    <w:p>
      <w:pPr>
        <w:pStyle w:val="Normal"/>
        <w:ind w:end="-720"/>
        <w:jc w:val="both"/>
        <w:rPr>
          <w:rFonts w:ascii="Arial" w:hAnsi="Arial" w:cs="Arial"/>
          <w:sz w:val="22"/>
        </w:rPr>
      </w:pPr>
      <w:r>
        <w:rPr>
          <w:rFonts w:cs="Arial" w:ascii="Arial" w:hAnsi="Arial"/>
          <w:sz w:val="22"/>
        </w:rPr>
        <w:tab/>
        <w:tab/>
        <w:t>If to G-P:</w:t>
        <w:tab/>
        <w:tab/>
        <w:t>Georgia-Pacific Corporation</w:t>
      </w:r>
    </w:p>
    <w:p>
      <w:pPr>
        <w:pStyle w:val="Normal"/>
        <w:ind w:start="3600" w:end="-720"/>
        <w:jc w:val="both"/>
        <w:rPr>
          <w:rFonts w:ascii="Arial" w:hAnsi="Arial" w:cs="Arial"/>
          <w:sz w:val="22"/>
        </w:rPr>
      </w:pPr>
      <w:r>
        <w:rPr>
          <w:rFonts w:cs="Arial" w:ascii="Arial" w:hAnsi="Arial"/>
          <w:sz w:val="22"/>
        </w:rPr>
        <w:t>Attention: Office of General Counsel</w:t>
      </w:r>
    </w:p>
    <w:p>
      <w:pPr>
        <w:pStyle w:val="Normal"/>
        <w:ind w:start="3600" w:end="-720"/>
        <w:jc w:val="both"/>
        <w:rPr>
          <w:rFonts w:ascii="Arial" w:hAnsi="Arial" w:cs="Arial"/>
          <w:sz w:val="22"/>
        </w:rPr>
      </w:pPr>
      <w:r>
        <w:rPr>
          <w:rFonts w:cs="Arial" w:ascii="Arial" w:hAnsi="Arial"/>
          <w:sz w:val="22"/>
        </w:rPr>
        <w:t>133 Peachtree Street NE</w:t>
      </w:r>
    </w:p>
    <w:p>
      <w:pPr>
        <w:pStyle w:val="Normal"/>
        <w:ind w:start="3600" w:end="-720"/>
        <w:jc w:val="both"/>
        <w:rPr>
          <w:rFonts w:ascii="Arial" w:hAnsi="Arial" w:cs="Arial"/>
          <w:sz w:val="22"/>
        </w:rPr>
      </w:pPr>
      <w:r>
        <w:rPr>
          <w:rFonts w:cs="Arial" w:ascii="Arial" w:hAnsi="Arial"/>
          <w:sz w:val="22"/>
        </w:rPr>
        <w:t>Atlanta, Georgia 30303</w:t>
      </w:r>
    </w:p>
    <w:p>
      <w:pPr>
        <w:pStyle w:val="Normal"/>
        <w:ind w:end="-720"/>
        <w:jc w:val="both"/>
        <w:rPr>
          <w:rFonts w:ascii="Arial" w:hAnsi="Arial" w:cs="Arial"/>
          <w:sz w:val="22"/>
        </w:rPr>
      </w:pPr>
      <w:r>
        <w:rPr>
          <w:rFonts w:cs="Arial" w:ascii="Arial" w:hAnsi="Arial"/>
          <w:sz w:val="22"/>
        </w:rPr>
      </w:r>
    </w:p>
    <w:p>
      <w:pPr>
        <w:pStyle w:val="Normal"/>
        <w:ind w:end="-720"/>
        <w:jc w:val="both"/>
        <w:rPr>
          <w:rFonts w:ascii="Arial" w:hAnsi="Arial" w:cs="Arial"/>
          <w:sz w:val="22"/>
        </w:rPr>
      </w:pPr>
      <w:r>
        <w:rPr>
          <w:rFonts w:cs="Arial" w:ascii="Arial" w:hAnsi="Arial"/>
          <w:sz w:val="22"/>
        </w:rPr>
      </w:r>
    </w:p>
    <w:p>
      <w:pPr>
        <w:pStyle w:val="BodyText3"/>
        <w:ind w:end="-720"/>
        <w:rPr>
          <w:rFonts w:ascii="Arial" w:hAnsi="Arial" w:cs="Arial"/>
          <w:sz w:val="22"/>
        </w:rPr>
      </w:pPr>
      <w:r>
        <w:rPr>
          <w:rFonts w:cs="Arial" w:ascii="Arial" w:hAnsi="Arial"/>
          <w:sz w:val="22"/>
        </w:rPr>
        <w:tab/>
        <w:tab/>
        <w:t>If to NATC:</w:t>
        <w:tab/>
        <w:tab/>
        <w:t>North American Timber Corp.</w:t>
      </w:r>
    </w:p>
    <w:p>
      <w:pPr>
        <w:pStyle w:val="Normal"/>
        <w:ind w:firstLine="720" w:start="2880" w:end="-720"/>
        <w:jc w:val="both"/>
        <w:rPr>
          <w:rFonts w:ascii="Arial" w:hAnsi="Arial" w:cs="Arial"/>
          <w:sz w:val="22"/>
        </w:rPr>
      </w:pPr>
      <w:r>
        <w:rPr>
          <w:rFonts w:cs="Arial" w:ascii="Arial" w:hAnsi="Arial"/>
          <w:sz w:val="22"/>
        </w:rPr>
        <w:t>ATTN:</w:t>
        <w:tab/>
        <w:t>Legal Department</w:t>
      </w:r>
    </w:p>
    <w:p>
      <w:pPr>
        <w:pStyle w:val="Normal"/>
        <w:ind w:start="3600" w:end="-720"/>
        <w:jc w:val="both"/>
        <w:rPr>
          <w:rFonts w:ascii="Arial" w:hAnsi="Arial" w:cs="Arial"/>
          <w:sz w:val="22"/>
        </w:rPr>
      </w:pPr>
      <w:r>
        <w:rPr>
          <w:rFonts w:cs="Arial" w:ascii="Arial" w:hAnsi="Arial"/>
          <w:sz w:val="22"/>
        </w:rPr>
        <w:t>100 Peachtree Street. N.W., Suite 2650</w:t>
      </w:r>
    </w:p>
    <w:p>
      <w:pPr>
        <w:pStyle w:val="Normal"/>
        <w:ind w:start="3600" w:end="-720"/>
        <w:jc w:val="both"/>
        <w:rPr>
          <w:rFonts w:ascii="Arial" w:hAnsi="Arial" w:cs="Arial"/>
          <w:sz w:val="22"/>
        </w:rPr>
      </w:pPr>
      <w:r>
        <w:rPr>
          <w:rFonts w:cs="Arial" w:ascii="Arial" w:hAnsi="Arial"/>
          <w:sz w:val="22"/>
        </w:rPr>
        <w:t>Atlanta, GA  30303</w:t>
      </w:r>
    </w:p>
    <w:p>
      <w:pPr>
        <w:pStyle w:val="Normal"/>
        <w:ind w:start="3600" w:end="-720"/>
        <w:jc w:val="both"/>
        <w:rPr>
          <w:rFonts w:ascii="Arial" w:hAnsi="Arial" w:cs="Arial"/>
          <w:sz w:val="22"/>
        </w:rPr>
      </w:pPr>
      <w:r>
        <w:rPr>
          <w:rFonts w:cs="Arial" w:ascii="Arial" w:hAnsi="Arial"/>
          <w:sz w:val="22"/>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sz w:val="24"/>
          <w:u w:val="single"/>
        </w:rPr>
      </w:pPr>
      <w:r>
        <w:rPr>
          <w:rFonts w:cs="Arial" w:ascii="Arial" w:hAnsi="Arial"/>
          <w:sz w:val="24"/>
        </w:rPr>
        <w:t>13.</w:t>
        <w:tab/>
        <w:t xml:space="preserve">Subject in each case to the terms and conditions otherwise contained in this Agreement, each party shall defend, indemnify and save the other party, its successors and permitted assigns, joint venturers, related or affiliated companies, its directors, officers, employees and agents from and against any and all losses, costs, expenses, claims, demands, liabilities, suits or actions (including all reasonable expenses and attorneys’ fees) arising out of personal injury (including death) and, in addition, loss of or damage to property, to the extent caused by or resulting from its negligent acts or omissions or willful misconduct in the performance of this Agreement.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u w:val="single"/>
        </w:rPr>
      </w:pPr>
      <w:r>
        <w:rPr>
          <w:rFonts w:cs="Arial" w:ascii="Arial" w:hAnsi="Arial"/>
          <w:sz w:val="24"/>
          <w:u w:val="single"/>
        </w:rPr>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450" w:start="450" w:end="-720"/>
        <w:jc w:val="both"/>
        <w:rPr>
          <w:sz w:val="24"/>
          <w:u w:val="single"/>
        </w:rPr>
      </w:pPr>
      <w:r>
        <w:rPr>
          <w:rFonts w:cs="Arial" w:ascii="Arial" w:hAnsi="Arial"/>
          <w:sz w:val="24"/>
        </w:rPr>
        <w:t>14.</w:t>
        <w:tab/>
        <w:t>G-P will notify the DEQ of this project, obtain any necessary environmental permits/approvals, provide the needed residuals materials, and have the Material analyzed for the constituents as specified below:</w:t>
        <w:tab/>
        <w:tab/>
      </w:r>
      <w:r>
        <w:rPr>
          <w:sz w:val="24"/>
        </w:rPr>
        <w:tab/>
        <w:tab/>
        <w:t xml:space="preserve">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u w:val="single"/>
        </w:rPr>
      </w:pPr>
      <w:r>
        <w:rPr>
          <w:rFonts w:cs="Arial" w:ascii="Arial" w:hAnsi="Arial"/>
          <w:sz w:val="24"/>
          <w:u w:val="single"/>
        </w:rPr>
      </w:r>
    </w:p>
    <w:p>
      <w:pPr>
        <w:pStyle w:val="Normal"/>
        <w:tabs>
          <w:tab w:val="clear" w:pos="720"/>
          <w:tab w:val="left" w:pos="810" w:leader="none"/>
          <w:tab w:val="left" w:pos="2160" w:leader="none"/>
          <w:tab w:val="left" w:pos="2880" w:leader="none"/>
          <w:tab w:val="left" w:pos="3600" w:leader="none"/>
          <w:tab w:val="left" w:pos="4320" w:leader="none"/>
        </w:tabs>
        <w:spacing w:lineRule="atLeast" w:line="240"/>
        <w:ind w:end="-720"/>
        <w:jc w:val="both"/>
        <w:rPr/>
      </w:pPr>
      <w:r>
        <w:rPr>
          <w:rFonts w:eastAsia="Arial" w:cs="Arial" w:ascii="Arial" w:hAnsi="Arial"/>
          <w:sz w:val="24"/>
        </w:rPr>
        <w:t xml:space="preserve">                                                 </w:t>
      </w:r>
      <w:r>
        <w:rPr>
          <w:rFonts w:cs="Arial" w:ascii="Arial" w:hAnsi="Arial"/>
          <w:sz w:val="24"/>
          <w:u w:val="single"/>
        </w:rPr>
        <w:t xml:space="preserve">Analysis </w:t>
      </w:r>
      <w:r>
        <w:rPr>
          <w:rFonts w:cs="Arial" w:ascii="Arial" w:hAnsi="Arial"/>
          <w:sz w:val="24"/>
        </w:rPr>
        <w:tab/>
        <w:tab/>
        <w:tab/>
        <w:tab/>
        <w:t xml:space="preserve">                </w:t>
      </w:r>
      <w:r>
        <w:rPr>
          <w:rFonts w:cs="Arial" w:ascii="Arial" w:hAnsi="Arial"/>
          <w:sz w:val="24"/>
          <w:u w:val="single"/>
        </w:rPr>
        <w:t>Frequency</w:t>
      </w:r>
    </w:p>
    <w:p>
      <w:pPr>
        <w:pStyle w:val="Heading2"/>
        <w:tabs>
          <w:tab w:val="clear" w:pos="720"/>
          <w:tab w:val="left" w:pos="810" w:leader="none"/>
          <w:tab w:val="left" w:pos="1260" w:leader="none"/>
          <w:tab w:val="left" w:pos="2160" w:leader="none"/>
          <w:tab w:val="left" w:pos="2880" w:leader="none"/>
          <w:tab w:val="left" w:pos="5610" w:leader="none"/>
        </w:tabs>
        <w:ind w:start="810" w:end="-720"/>
        <w:jc w:val="both"/>
        <w:rPr/>
      </w:pPr>
      <w:r>
        <w:rPr>
          <w:rFonts w:eastAsia="Arial"/>
        </w:rPr>
        <w:t xml:space="preserve">   </w:t>
      </w:r>
      <w:r>
        <w:rPr/>
        <w:t>Toxics</w:t>
        <w:tab/>
        <w:tab/>
        <w:t xml:space="preserve">      Dioxins, others</w:t>
        <w:tab/>
        <w:tab/>
        <w:tab/>
        <w:tab/>
        <w:t xml:space="preserve">        Monthly</w:t>
      </w:r>
    </w:p>
    <w:p>
      <w:pPr>
        <w:pStyle w:val="Heading2"/>
        <w:tabs>
          <w:tab w:val="clear" w:pos="720"/>
          <w:tab w:val="left" w:pos="810" w:leader="none"/>
          <w:tab w:val="left" w:pos="1260" w:leader="none"/>
          <w:tab w:val="left" w:pos="2160" w:leader="none"/>
          <w:tab w:val="left" w:pos="2880" w:leader="none"/>
          <w:tab w:val="left" w:pos="5610" w:leader="none"/>
        </w:tabs>
        <w:ind w:end="-720"/>
        <w:jc w:val="both"/>
        <w:rPr/>
      </w:pPr>
      <w:r>
        <w:rPr/>
        <w:tab/>
        <w:t xml:space="preserve">   Heavy Metals</w:t>
        <w:tab/>
        <w:t xml:space="preserve">     Pb, Cd, Cr, Zn, Al</w:t>
        <w:tab/>
        <w:tab/>
        <w:tab/>
        <w:tab/>
        <w:t xml:space="preserve">        Monthly</w:t>
      </w:r>
    </w:p>
    <w:p>
      <w:pPr>
        <w:pStyle w:val="Heading2"/>
        <w:tabs>
          <w:tab w:val="clear" w:pos="720"/>
          <w:tab w:val="left" w:pos="810" w:leader="none"/>
          <w:tab w:val="left" w:pos="1260" w:leader="none"/>
          <w:tab w:val="left" w:pos="2160" w:leader="none"/>
          <w:tab w:val="left" w:pos="2880" w:leader="none"/>
          <w:tab w:val="left" w:pos="5610" w:leader="none"/>
        </w:tabs>
        <w:ind w:end="-720"/>
        <w:jc w:val="both"/>
        <w:rPr/>
      </w:pPr>
      <w:r>
        <w:rPr>
          <w:rFonts w:eastAsia="Arial"/>
        </w:rPr>
        <w:t xml:space="preserve">    </w:t>
      </w:r>
      <w:r>
        <w:rPr/>
        <w:tab/>
        <w:t xml:space="preserve">   Macronutrients</w:t>
        <w:tab/>
        <w:t xml:space="preserve">     Total N, NH4-N, NO3-N, P, K, Ca, Mg        Monthly</w:t>
      </w:r>
    </w:p>
    <w:p>
      <w:pPr>
        <w:pStyle w:val="Heading2"/>
        <w:tabs>
          <w:tab w:val="clear" w:pos="720"/>
          <w:tab w:val="left" w:pos="810" w:leader="none"/>
          <w:tab w:val="left" w:pos="1260" w:leader="none"/>
          <w:tab w:val="left" w:pos="2160" w:leader="none"/>
          <w:tab w:val="left" w:pos="2880" w:leader="none"/>
          <w:tab w:val="left" w:pos="5610" w:leader="none"/>
        </w:tabs>
        <w:ind w:end="-720"/>
        <w:jc w:val="both"/>
        <w:rPr/>
      </w:pPr>
      <w:r>
        <w:rPr/>
        <w:tab/>
        <w:t xml:space="preserve">   Micronutrients</w:t>
        <w:tab/>
        <w:t xml:space="preserve">     S, Fe, Mn, Cu, Bo, Mo</w:t>
        <w:tab/>
        <w:tab/>
        <w:tab/>
        <w:t xml:space="preserve">                   Monthly </w:t>
      </w:r>
    </w:p>
    <w:p>
      <w:pPr>
        <w:pStyle w:val="Heading2"/>
        <w:tabs>
          <w:tab w:val="clear" w:pos="720"/>
          <w:tab w:val="left" w:pos="810" w:leader="none"/>
          <w:tab w:val="left" w:pos="1260" w:leader="none"/>
          <w:tab w:val="left" w:pos="2160" w:leader="none"/>
          <w:tab w:val="left" w:pos="2880" w:leader="none"/>
          <w:tab w:val="left" w:pos="5610" w:leader="none"/>
        </w:tabs>
        <w:ind w:end="-720"/>
        <w:jc w:val="both"/>
        <w:rPr/>
      </w:pPr>
      <w:r>
        <w:rPr/>
        <w:tab/>
        <w:t xml:space="preserve">   Others</w:t>
        <w:tab/>
        <w:t xml:space="preserve">                pH, C:N ratio, moisture content </w:t>
        <w:tab/>
        <w:t xml:space="preserve">        Monthly</w:t>
      </w:r>
    </w:p>
    <w:p>
      <w:pPr>
        <w:pStyle w:val="Normal"/>
        <w:tabs>
          <w:tab w:val="clear" w:pos="720"/>
          <w:tab w:val="left" w:pos="540" w:leader="none"/>
          <w:tab w:val="left" w:pos="1440" w:leader="none"/>
          <w:tab w:val="left" w:pos="2160" w:leader="none"/>
          <w:tab w:val="left" w:pos="2880" w:leader="none"/>
          <w:tab w:val="left" w:pos="3600" w:leader="none"/>
          <w:tab w:val="left" w:pos="4320" w:leader="none"/>
        </w:tabs>
        <w:spacing w:lineRule="atLeast" w:line="240"/>
        <w:ind w:end="-720"/>
        <w:jc w:val="both"/>
        <w:rPr>
          <w:sz w:val="24"/>
        </w:rPr>
      </w:pPr>
      <w:r>
        <w:rPr>
          <w:sz w:val="24"/>
        </w:rPr>
        <w:tab/>
      </w:r>
    </w:p>
    <w:p>
      <w:pPr>
        <w:pStyle w:val="BlockText"/>
        <w:rPr>
          <w:u w:val="none"/>
        </w:rPr>
      </w:pPr>
      <w:r>
        <w:rPr>
          <w:u w:val="none"/>
        </w:rPr>
        <w:t xml:space="preserve">G-P shall provide such monthly analysis reports to NATC for the term of this Agreement. </w:t>
      </w:r>
    </w:p>
    <w:p>
      <w:pPr>
        <w:pStyle w:val="BlockText"/>
        <w:ind w:start="0" w:end="-720"/>
        <w:rPr>
          <w:u w:val="none"/>
        </w:rPr>
      </w:pPr>
      <w:r>
        <w:rPr>
          <w:u w:val="none"/>
        </w:rPr>
      </w:r>
    </w:p>
    <w:p>
      <w:pPr>
        <w:pStyle w:val="BlockText"/>
        <w:numPr>
          <w:ilvl w:val="0"/>
          <w:numId w:val="3"/>
        </w:numPr>
        <w:rPr>
          <w:u w:val="none"/>
        </w:rPr>
      </w:pPr>
      <w:r>
        <w:rPr>
          <w:u w:val="none"/>
        </w:rPr>
        <w:t>This Agreement is for a period of five (5) years, beginning on September 15, 2001, with automatic year-to-year renewals thereafter; provided that either party may terminate this Agreement at any time during the original term or any renewal term, upon ninety (90) days prior written notice to the other.</w:t>
      </w:r>
    </w:p>
    <w:p>
      <w:pPr>
        <w:pStyle w:val="BlockText"/>
        <w:ind w:start="0" w:end="-720"/>
        <w:rPr>
          <w:u w:val="none"/>
        </w:rPr>
      </w:pPr>
      <w:r>
        <w:rPr>
          <w:u w:val="none"/>
        </w:rPr>
      </w:r>
    </w:p>
    <w:p>
      <w:pPr>
        <w:pStyle w:val="BlockText"/>
        <w:numPr>
          <w:ilvl w:val="0"/>
          <w:numId w:val="3"/>
        </w:numPr>
        <w:rPr>
          <w:u w:val="none"/>
        </w:rPr>
      </w:pPr>
      <w:r>
        <w:rPr>
          <w:u w:val="none"/>
        </w:rPr>
        <w:t>Except as provided in Paragraph 17, G-P may not assign this Agreement in whole or in part without the prior written consent of NATC. In case of any such assignment, G-P shall not be released from the obligations or conditions herein contained.</w:t>
      </w:r>
    </w:p>
    <w:p>
      <w:pPr>
        <w:pStyle w:val="BlockText"/>
        <w:ind w:start="0" w:end="-720"/>
        <w:rPr>
          <w:u w:val="none"/>
        </w:rPr>
      </w:pPr>
      <w:r>
        <w:rPr>
          <w:u w:val="none"/>
        </w:rPr>
      </w:r>
    </w:p>
    <w:p>
      <w:pPr>
        <w:pStyle w:val="BlockText"/>
        <w:numPr>
          <w:ilvl w:val="0"/>
          <w:numId w:val="3"/>
        </w:numPr>
        <w:rPr>
          <w:u w:val="none"/>
        </w:rPr>
      </w:pPr>
      <w:r>
        <w:rPr>
          <w:u w:val="none"/>
        </w:rPr>
        <w:t>This Agreement may not be assigned by either party without the prior written consent of the other party, which consent shall not unreasonably be withheld, and shall be binding upon and inure to the benefit of each party’s successors and permissible assigns; provided, this Agreement may be assigned without consent to a subsidiary, parent corporation or affiliate of either party, or to a purchaser of substantially all of the assets of either party, or to either of the parties’ lenders for collateral purposes only, under any applicable credit facility or similar arrangement.  In the event of any permitted assignment, such assignment shall not release the assignor from continuing liability hereunder unless mutually agreed in writing.  Each party seeking to make an assignment permitted as specified above shall give the other party as much advance written notice of the effective date of such assignment as practical, and such notice shall identify the name, address, telephone number and contact person of the assignee.</w:t>
      </w:r>
    </w:p>
    <w:p>
      <w:pPr>
        <w:pStyle w:val="BlockText"/>
        <w:ind w:start="0" w:end="-720"/>
        <w:rPr>
          <w:u w:val="none"/>
        </w:rPr>
      </w:pPr>
      <w:r>
        <w:rPr>
          <w:u w:val="none"/>
        </w:rPr>
      </w:r>
    </w:p>
    <w:p>
      <w:pPr>
        <w:pStyle w:val="BlockText"/>
        <w:numPr>
          <w:ilvl w:val="0"/>
          <w:numId w:val="3"/>
        </w:numPr>
        <w:rPr>
          <w:u w:val="none"/>
        </w:rPr>
      </w:pPr>
      <w:r>
        <w:rPr>
          <w:u w:val="none"/>
        </w:rPr>
        <w:t>The waiving of any one or more of the covenants on the part of either party herein contained shall be limited to the particular instance and shall not be deemed a waiver of any other breaches of covenants.</w:t>
      </w:r>
    </w:p>
    <w:p>
      <w:pPr>
        <w:pStyle w:val="BlockText"/>
        <w:ind w:start="0" w:end="-720"/>
        <w:rPr>
          <w:u w:val="none"/>
        </w:rPr>
      </w:pPr>
      <w:r>
        <w:rPr>
          <w:u w:val="none"/>
        </w:rPr>
      </w:r>
    </w:p>
    <w:p>
      <w:pPr>
        <w:pStyle w:val="BlockText"/>
        <w:numPr>
          <w:ilvl w:val="0"/>
          <w:numId w:val="3"/>
        </w:numPr>
        <w:rPr>
          <w:u w:val="none"/>
        </w:rPr>
      </w:pPr>
      <w:r>
        <w:rPr>
          <w:u w:val="none"/>
        </w:rPr>
        <w:t>The validity, interpretation, and performance of this Agreement shall be governed and construed in accordance with the laws of the State of Mississippi.</w:t>
      </w:r>
    </w:p>
    <w:p>
      <w:pPr>
        <w:pStyle w:val="BlockText"/>
        <w:ind w:start="0" w:end="-720"/>
        <w:rPr>
          <w:u w:val="none"/>
        </w:rPr>
      </w:pPr>
      <w:r>
        <w:rPr>
          <w:u w:val="none"/>
        </w:rPr>
      </w:r>
    </w:p>
    <w:p>
      <w:pPr>
        <w:pStyle w:val="BlockText"/>
        <w:numPr>
          <w:ilvl w:val="0"/>
          <w:numId w:val="3"/>
        </w:numPr>
        <w:rPr>
          <w:u w:val="none"/>
        </w:rPr>
      </w:pPr>
      <w:r>
        <w:rPr>
          <w:u w:val="none"/>
        </w:rPr>
        <w:t>This Agreement constitutes the full understanding of the parties and is a complete and exclusive statement of the terms of their agreement.  Except as provided herein, no conditions, course of dealing, understandings, or agreements purporting to modify, vary, supplement or explain the terms of this Agreement shall be binding unless hereafter made in writing and signed by the party(ies) to be bound.</w:t>
      </w:r>
    </w:p>
    <w:p>
      <w:pPr>
        <w:pStyle w:val="BlockText"/>
        <w:ind w:start="0" w:end="-720"/>
        <w:rPr>
          <w:u w:val="none"/>
        </w:rPr>
      </w:pPr>
      <w:r>
        <w:rPr>
          <w:u w:val="none"/>
        </w:rPr>
      </w:r>
    </w:p>
    <w:p>
      <w:pPr>
        <w:pStyle w:val="BlockText"/>
        <w:numPr>
          <w:ilvl w:val="0"/>
          <w:numId w:val="3"/>
        </w:numPr>
        <w:rPr>
          <w:u w:val="none"/>
        </w:rPr>
      </w:pPr>
      <w:r>
        <w:rPr>
          <w:u w:val="none"/>
        </w:rPr>
        <w:t xml:space="preserve">In the event that particular provision(s) or requirement(s) of this Agreement are in violation of any law or regulation, such provision(s) or requirement(s) shall not be enforced except to the extent they are not in violation of such laws or regulations, and all other provision(s) and requirements of this Agreement shall remain in full force and effect. </w:t>
      </w:r>
    </w:p>
    <w:p>
      <w:pPr>
        <w:pStyle w:val="Normal"/>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end="-720"/>
        <w:jc w:val="both"/>
        <w:rPr>
          <w:rFonts w:ascii="Arial" w:hAnsi="Arial" w:cs="Arial"/>
          <w:sz w:val="24"/>
          <w:u w:val="none"/>
        </w:rPr>
      </w:pPr>
      <w:r>
        <w:rPr>
          <w:rFonts w:cs="Arial" w:ascii="Arial" w:hAnsi="Arial"/>
          <w:sz w:val="24"/>
          <w:u w:val="none"/>
        </w:rPr>
      </w:r>
      <w:r>
        <w:br w:type="page"/>
      </w:r>
    </w:p>
    <w:p>
      <w:pPr>
        <w:pStyle w:val="Normal"/>
        <w:ind w:end="-720"/>
        <w:jc w:val="both"/>
        <w:rPr>
          <w:rFonts w:ascii="Arial" w:hAnsi="Arial" w:cs="Arial"/>
          <w:sz w:val="24"/>
        </w:rPr>
      </w:pPr>
      <w:r>
        <w:rPr>
          <w:rFonts w:cs="Arial" w:ascii="Arial" w:hAnsi="Arial"/>
          <w:sz w:val="24"/>
        </w:rPr>
        <w:tab/>
        <w:t>IN WITNESS WHEREOF, the parties have caused this Agreement to be executed by their duly authorized representatives as shown below.</w:t>
      </w:r>
    </w:p>
    <w:p>
      <w:pPr>
        <w:pStyle w:val="Normal"/>
        <w:ind w:end="-720"/>
        <w:jc w:val="both"/>
        <w:rPr>
          <w:rFonts w:ascii="Arial" w:hAnsi="Arial" w:cs="Arial"/>
          <w:sz w:val="24"/>
        </w:rPr>
      </w:pPr>
      <w:r>
        <w:rPr>
          <w:rFonts w:cs="Arial" w:ascii="Arial" w:hAnsi="Arial"/>
          <w:sz w:val="24"/>
        </w:rPr>
      </w:r>
    </w:p>
    <w:p>
      <w:pPr>
        <w:pStyle w:val="Heading4"/>
        <w:ind w:hanging="0" w:start="0" w:end="-720"/>
        <w:jc w:val="both"/>
        <w:rPr/>
      </w:pPr>
      <w:r>
        <w:rPr/>
        <w:t>NORTH AMERICAN TIMBER CORP.                GEORIGA-PACIFIC CORPORATION</w:t>
      </w:r>
    </w:p>
    <w:p>
      <w:pPr>
        <w:pStyle w:val="Normal"/>
        <w:ind w:end="-720"/>
        <w:jc w:val="both"/>
        <w:rPr>
          <w:rFonts w:ascii="Arial" w:hAnsi="Arial" w:cs="Arial"/>
          <w:sz w:val="24"/>
        </w:rPr>
      </w:pPr>
      <w:r>
        <w:rPr>
          <w:rFonts w:cs="Arial" w:ascii="Arial" w:hAnsi="Arial"/>
          <w:sz w:val="24"/>
        </w:rPr>
      </w:r>
    </w:p>
    <w:p>
      <w:pPr>
        <w:pStyle w:val="Normal"/>
        <w:ind w:end="-720"/>
        <w:jc w:val="both"/>
        <w:rPr>
          <w:rFonts w:ascii="Arial" w:hAnsi="Arial" w:cs="Arial"/>
          <w:sz w:val="24"/>
        </w:rPr>
      </w:pPr>
      <w:r>
        <w:rPr>
          <w:rFonts w:cs="Arial" w:ascii="Arial" w:hAnsi="Arial"/>
          <w:sz w:val="24"/>
        </w:rPr>
      </w:r>
    </w:p>
    <w:p>
      <w:pPr>
        <w:pStyle w:val="Heading3"/>
        <w:ind w:hanging="0" w:end="-720"/>
        <w:jc w:val="both"/>
        <w:rPr/>
      </w:pPr>
      <w:r>
        <w:rPr/>
        <w:t>By: __________________________</w:t>
        <w:tab/>
        <w:tab/>
        <w:t>By: _____________________________</w:t>
        <w:tab/>
        <w:tab/>
      </w:r>
    </w:p>
    <w:p>
      <w:pPr>
        <w:pStyle w:val="Normal"/>
        <w:ind w:end="-720"/>
        <w:jc w:val="both"/>
        <w:rPr>
          <w:rFonts w:ascii="Arial" w:hAnsi="Arial" w:cs="Arial"/>
          <w:sz w:val="24"/>
        </w:rPr>
      </w:pPr>
      <w:r>
        <w:rPr>
          <w:rFonts w:cs="Arial" w:ascii="Arial" w:hAnsi="Arial"/>
          <w:sz w:val="24"/>
        </w:rPr>
      </w:r>
    </w:p>
    <w:p>
      <w:pPr>
        <w:pStyle w:val="Heading3"/>
        <w:ind w:hanging="0" w:end="-720"/>
        <w:jc w:val="both"/>
        <w:rPr/>
      </w:pPr>
      <w:r>
        <w:rPr/>
        <w:t>Print Name: ___________________</w:t>
        <w:tab/>
        <w:tab/>
        <w:t>Print Name: ______________________</w:t>
      </w:r>
    </w:p>
    <w:p>
      <w:pPr>
        <w:pStyle w:val="Normal"/>
        <w:ind w:end="-720"/>
        <w:jc w:val="both"/>
        <w:rPr>
          <w:rFonts w:ascii="Arial" w:hAnsi="Arial" w:cs="Arial"/>
          <w:sz w:val="24"/>
        </w:rPr>
      </w:pPr>
      <w:r>
        <w:rPr>
          <w:rFonts w:cs="Arial" w:ascii="Arial" w:hAnsi="Arial"/>
          <w:sz w:val="24"/>
        </w:rPr>
      </w:r>
    </w:p>
    <w:p>
      <w:pPr>
        <w:pStyle w:val="Heading3"/>
        <w:ind w:hanging="0" w:end="-720"/>
        <w:jc w:val="both"/>
        <w:rPr/>
      </w:pPr>
      <w:r>
        <w:rPr/>
        <w:t>Title: ________________________</w:t>
        <w:tab/>
        <w:tab/>
        <w:t>Title: ___________________________</w:t>
      </w:r>
    </w:p>
    <w:p>
      <w:pPr>
        <w:pStyle w:val="Normal"/>
        <w:ind w:end="-720"/>
        <w:jc w:val="both"/>
        <w:rPr>
          <w:sz w:val="24"/>
        </w:rPr>
      </w:pPr>
      <w:r>
        <w:rPr>
          <w:sz w:val="24"/>
        </w:rPr>
      </w:r>
    </w:p>
    <w:p>
      <w:pPr>
        <w:pStyle w:val="Normal"/>
        <w:ind w:end="-720"/>
        <w:jc w:val="both"/>
        <w:rPr>
          <w:sz w:val="24"/>
        </w:rPr>
      </w:pPr>
      <w:r>
        <w:rPr>
          <w:sz w:val="24"/>
        </w:rPr>
      </w:r>
      <w:r>
        <w:br w:type="page"/>
      </w:r>
    </w:p>
    <w:p>
      <w:pPr>
        <w:pStyle w:val="Normal"/>
        <w:ind w:end="-720"/>
        <w:jc w:val="center"/>
        <w:rPr>
          <w:rFonts w:ascii="Arial" w:hAnsi="Arial" w:cs="Arial"/>
          <w:sz w:val="24"/>
        </w:rPr>
      </w:pPr>
      <w:r>
        <w:rPr>
          <w:rFonts w:cs="Arial" w:ascii="Arial" w:hAnsi="Arial"/>
          <w:sz w:val="24"/>
        </w:rPr>
        <w:t>Exhibit A</w:t>
      </w:r>
    </w:p>
    <w:p>
      <w:pPr>
        <w:pStyle w:val="Normal"/>
        <w:ind w:end="-720"/>
        <w:jc w:val="center"/>
        <w:rPr>
          <w:rFonts w:ascii="Arial" w:hAnsi="Arial" w:cs="Arial"/>
          <w:sz w:val="24"/>
        </w:rPr>
      </w:pPr>
      <w:r>
        <w:rPr>
          <w:rFonts w:cs="Arial" w:ascii="Arial" w:hAnsi="Arial"/>
          <w:sz w:val="24"/>
        </w:rPr>
      </w:r>
    </w:p>
    <w:p>
      <w:pPr>
        <w:pStyle w:val="Normal"/>
        <w:ind w:end="-720"/>
        <w:jc w:val="center"/>
        <w:rPr>
          <w:rFonts w:ascii="Arial" w:hAnsi="Arial" w:cs="Arial"/>
          <w:sz w:val="24"/>
        </w:rPr>
      </w:pPr>
      <w:r>
        <w:rPr>
          <w:rFonts w:cs="Arial" w:ascii="Arial" w:hAnsi="Arial"/>
          <w:sz w:val="24"/>
        </w:rPr>
        <w:t>Description of contents and constituents of the Material</w:t>
      </w:r>
    </w:p>
    <w:p>
      <w:pPr>
        <w:pStyle w:val="Normal"/>
        <w:jc w:val="center"/>
        <w:rPr>
          <w:rFonts w:ascii="Arial" w:hAnsi="Arial" w:cs="Arial"/>
          <w:sz w:val="24"/>
        </w:rPr>
      </w:pPr>
      <w:r>
        <w:rPr>
          <w:rFonts w:cs="Arial" w:ascii="Arial" w:hAnsi="Arial"/>
          <w:sz w:val="24"/>
        </w:rPr>
      </w:r>
    </w:p>
    <w:p>
      <w:pPr>
        <w:pStyle w:val="Normal"/>
        <w:jc w:val="center"/>
        <w:rPr>
          <w:sz w:val="24"/>
        </w:rPr>
      </w:pPr>
      <w:r>
        <w:rPr>
          <w:sz w:val="24"/>
        </w:rPr>
        <w:t>[To be added]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326454v2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50"/>
        </w:tabs>
        <w:ind w:start="450" w:hanging="450"/>
      </w:pPr>
      <w:rPr>
        <w:color w:val="auto"/>
      </w:rPr>
    </w:lvl>
  </w:abstractNum>
  <w:abstractNum w:abstractNumId="3">
    <w:lvl w:ilvl="0">
      <w:start w:val="15"/>
      <w:numFmt w:val="decimal"/>
      <w:lvlText w:val="%1."/>
      <w:lvlJc w:val="start"/>
      <w:pPr>
        <w:tabs>
          <w:tab w:val="num" w:pos="450"/>
        </w:tabs>
        <w:ind w:start="450" w:hanging="450"/>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tabs>
        <w:tab w:val="left" w:pos="720" w:leader="none"/>
        <w:tab w:val="left" w:pos="1260" w:leader="none"/>
        <w:tab w:val="left" w:pos="2160" w:leader="none"/>
        <w:tab w:val="left" w:pos="2880" w:leader="none"/>
        <w:tab w:val="left" w:pos="5610" w:leader="none"/>
      </w:tabs>
      <w:spacing w:lineRule="atLeast" w:line="240"/>
      <w:ind w:hanging="0" w:start="0" w:end="160"/>
      <w:outlineLvl w:val="1"/>
    </w:pPr>
    <w:rPr>
      <w:rFonts w:ascii="Arial" w:hAnsi="Arial" w:cs="Arial"/>
      <w:sz w:val="24"/>
    </w:rPr>
  </w:style>
  <w:style w:type="paragraph" w:styleId="Heading3">
    <w:name w:val="heading 3"/>
    <w:basedOn w:val="Normal"/>
    <w:next w:val="Normal"/>
    <w:qFormat/>
    <w:pPr>
      <w:keepNext w:val="true"/>
      <w:numPr>
        <w:ilvl w:val="2"/>
        <w:numId w:val="1"/>
      </w:numPr>
      <w:ind w:hanging="720" w:start="0" w:end="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sz w:val="24"/>
    </w:rPr>
  </w:style>
  <w:style w:type="paragraph" w:styleId="Heading5">
    <w:name w:val="heading 5"/>
    <w:basedOn w:val="Normal"/>
    <w:next w:val="Normal"/>
    <w:qFormat/>
    <w:pPr>
      <w:keepNext w:val="true"/>
      <w:numPr>
        <w:ilvl w:val="4"/>
        <w:numId w:val="1"/>
      </w:numPr>
      <w:tabs>
        <w:tab w:val="clear" w:pos="720"/>
        <w:tab w:val="left" w:pos="810" w:leader="none"/>
        <w:tab w:val="left" w:pos="1440" w:leader="none"/>
        <w:tab w:val="left" w:pos="2160" w:leader="none"/>
        <w:tab w:val="left" w:pos="2880" w:leader="none"/>
        <w:tab w:val="left" w:pos="3600" w:leader="none"/>
        <w:tab w:val="left" w:pos="4320" w:leader="none"/>
      </w:tabs>
      <w:spacing w:lineRule="atLeast" w:line="240"/>
      <w:ind w:hanging="0" w:start="0" w:end="-720"/>
      <w:jc w:val="center"/>
      <w:outlineLvl w:val="4"/>
    </w:pPr>
    <w:rPr>
      <w:rFonts w:ascii="Arial" w:hAnsi="Arial" w:cs="Arial"/>
      <w:b/>
      <w:sz w:val="24"/>
      <w:u w:val="single"/>
    </w:rPr>
  </w:style>
  <w:style w:type="character" w:styleId="WW8Num1z0">
    <w:name w:val="WW8Num1z0"/>
    <w:qFormat/>
    <w:rPr>
      <w:color w:val="auto"/>
    </w:rPr>
  </w:style>
  <w:style w:type="character" w:styleId="WW8Num2z0">
    <w:name w:val="WW8Num2z0"/>
    <w:qFormat/>
    <w:rPr>
      <w:u w:val="none"/>
    </w:rPr>
  </w:style>
  <w:style w:type="character" w:styleId="WW8Num3z0">
    <w:name w:val="WW8Num3z0"/>
    <w:qFormat/>
    <w:rPr>
      <w:rFonts w:ascii="Times New Roman" w:hAnsi="Times New Roman" w:cs="Times New Roman"/>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4"/>
    </w:rPr>
  </w:style>
  <w:style w:type="paragraph" w:styleId="BlockText">
    <w:name w:val="Block Text"/>
    <w:basedOn w:val="Normal"/>
    <w:qFormat/>
    <w:pPr>
      <w:tabs>
        <w:tab w:val="clear" w:pos="720"/>
        <w:tab w:val="left" w:pos="540" w:leader="none"/>
        <w:tab w:val="left" w:pos="1440" w:leader="none"/>
        <w:tab w:val="left" w:pos="2160" w:leader="none"/>
        <w:tab w:val="left" w:pos="2880" w:leader="none"/>
        <w:tab w:val="left" w:pos="3600" w:leader="none"/>
        <w:tab w:val="left" w:pos="4320" w:leader="none"/>
      </w:tabs>
      <w:spacing w:lineRule="atLeast" w:line="240"/>
      <w:ind w:hanging="0" w:start="450" w:end="-720"/>
      <w:jc w:val="both"/>
    </w:pPr>
    <w:rPr>
      <w:rFonts w:ascii="Arial" w:hAnsi="Arial" w:cs="Arial"/>
      <w:sz w:val="24"/>
      <w:u w:val="single"/>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2001-09-14T17:01:00Z</dcterms:created>
  <dc:creator>EDBARGER</dc:creator>
  <dc:description/>
  <dc:language>en-CA</dc:language>
  <cp:lastModifiedBy>Tony Rothermel</cp:lastModifiedBy>
  <cp:lastPrinted>2001-09-14T15:32:00Z</cp:lastPrinted>
  <dcterms:modified xsi:type="dcterms:W3CDTF">2001-09-14T17:18:00Z</dcterms:modified>
  <cp:revision>4</cp:revision>
  <dc:subject/>
  <dc:title>MATERIAL SPREADING  AGREEMENT</dc:title>
</cp:coreProperties>
</file>