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word/embeddings/oleObject1.bin" ContentType="application/vnd.openxmlformats-officedocument.oleObject"/>
  <Override PartName="/word/footer5.xml" ContentType="application/vnd.openxmlformats-officedocument.wordprocessingml.footer+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drawing>
          <wp:inline distT="0" distB="0" distL="0" distR="0">
            <wp:extent cx="2120900" cy="584835"/>
            <wp:effectExtent l="0" t="0" r="0" b="0"/>
            <wp:docPr id="1" name="EEI%20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I%20Logo" descr="" title=""/>
                    <pic:cNvPicPr>
                      <a:picLocks noChangeAspect="1" noChangeArrowheads="1"/>
                    </pic:cNvPicPr>
                  </pic:nvPicPr>
                  <pic:blipFill>
                    <a:blip r:embed="rId2"/>
                    <a:srcRect l="-6" t="-51" r="-6" b="-51"/>
                    <a:stretch>
                      <a:fillRect/>
                    </a:stretch>
                  </pic:blipFill>
                  <pic:spPr bwMode="auto">
                    <a:xfrm>
                      <a:off x="0" y="0"/>
                      <a:ext cx="2120900" cy="584835"/>
                    </a:xfrm>
                    <a:prstGeom prst="rect">
                      <a:avLst/>
                    </a:prstGeom>
                    <a:noFill/>
                  </pic:spPr>
                </pic:pic>
              </a:graphicData>
            </a:graphic>
          </wp:inline>
        </w:drawing>
      </w:r>
      <w:r>
        <w:rPr/>
        <w:tab/>
        <w:tab/>
        <w:tab/>
        <w:t xml:space="preserve">                        </w:t>
      </w:r>
      <w:bookmarkStart w:id="0" w:name="_1013396682"/>
      <w:bookmarkEnd w:id="0"/>
      <w:r>
        <w:rPr/>
        <w:object w:dxaOrig="1846" w:dyaOrig="1861">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92.3pt;height:93.05pt" filled="f" o:ole="">
            <v:imagedata r:id="rId4" o:title=""/>
          </v:shape>
          <o:OLEObject Type="Embed" ProgID="" ShapeID="ole_rId3" DrawAspect="Content" ObjectID="_680270594" r:id="rId3"/>
        </w:object>
      </w:r>
    </w:p>
    <w:p>
      <w:pPr>
        <w:pStyle w:val="Normal"/>
        <w:rPr/>
      </w:pPr>
      <w:r>
        <w:rPr/>
      </w:r>
    </w:p>
    <w:p>
      <w:pPr>
        <w:pStyle w:val="Normal"/>
        <w:rPr/>
      </w:pPr>
      <w:r>
        <w:rPr/>
      </w:r>
    </w:p>
    <w:p>
      <w:pPr>
        <w:sectPr>
          <w:footerReference w:type="default" r:id="rId5"/>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tabs>
              <w:tab w:val="clear" w:pos="2160"/>
              <w:tab w:val="right" w:pos="9360" w:leader="dot"/>
            </w:tabs>
            <w:rPr/>
          </w:pPr>
          <w:r>
            <w:fldChar w:fldCharType="begin"/>
          </w:r>
          <w:r>
            <w:rPr/>
            <w:instrText xml:space="preserve"> TOC \f </w:instrText>
          </w:r>
          <w:r>
            <w:rPr/>
            <w:fldChar w:fldCharType="separate"/>
          </w:r>
          <w:r>
            <w:rPr/>
            <w:t>COVER SHEET</w:t>
            <w:tab/>
          </w:r>
          <w:hyperlink w:anchor="__RefHeading___Toc476669030">
            <w:r>
              <w:rPr>
                <w:rStyle w:val="IndexLink"/>
              </w:rPr>
              <w:t>1</w:t>
            </w:r>
          </w:hyperlink>
        </w:p>
        <w:p>
          <w:pPr>
            <w:pStyle w:val="TOC1"/>
            <w:rPr/>
          </w:pPr>
          <w:r>
            <w:rPr/>
            <w:t>GENERAL TERMS AND CONDITIONS</w:t>
            <w:tab/>
          </w:r>
          <w:hyperlink w:anchor="__RefHeading___Toc476669031">
            <w:r>
              <w:rPr>
                <w:rStyle w:val="IndexLink"/>
              </w:rPr>
              <w:t>6</w:t>
            </w:r>
          </w:hyperlink>
        </w:p>
        <w:p>
          <w:pPr>
            <w:pStyle w:val="TOC1"/>
            <w:rPr/>
          </w:pPr>
          <w:r>
            <w:rPr/>
            <w:t>ARTICLE ONE:</w:t>
            <w:tab/>
            <w:t>GENERAL DEFINITIONS</w:t>
            <w:tab/>
          </w:r>
          <w:hyperlink w:anchor="__RefHeading___Toc476669032">
            <w:r>
              <w:rPr>
                <w:rStyle w:val="IndexLink"/>
              </w:rPr>
              <w:t>6</w:t>
            </w:r>
          </w:hyperlink>
        </w:p>
        <w:p>
          <w:pPr>
            <w:pStyle w:val="TOC1"/>
            <w:rPr/>
          </w:pPr>
          <w:r>
            <w:rPr/>
            <w:t>ARTICLE TWO:</w:t>
            <w:tab/>
            <w:t>TRANSACTION TERMS AND CONDITIONS</w:t>
            <w:tab/>
          </w:r>
          <w:hyperlink w:anchor="__RefHeading___Toc476669033">
            <w:r>
              <w:rPr>
                <w:rStyle w:val="IndexLink"/>
              </w:rPr>
              <w:t>11</w:t>
            </w:r>
          </w:hyperlink>
        </w:p>
        <w:p>
          <w:pPr>
            <w:pStyle w:val="TOC2"/>
            <w:rPr/>
          </w:pPr>
          <w:r>
            <w:rPr/>
            <w:t>2.1</w:t>
            <w:tab/>
            <w:t>Transactions</w:t>
            <w:tab/>
          </w:r>
          <w:hyperlink w:anchor="__RefHeading___Toc476669034">
            <w:r>
              <w:rPr>
                <w:rStyle w:val="IndexLink"/>
              </w:rPr>
              <w:t>11</w:t>
            </w:r>
          </w:hyperlink>
        </w:p>
        <w:p>
          <w:pPr>
            <w:pStyle w:val="TOC2"/>
            <w:rPr/>
          </w:pPr>
          <w:r>
            <w:rPr/>
            <w:t>2.2</w:t>
            <w:tab/>
            <w:t>Governing Terms</w:t>
            <w:tab/>
          </w:r>
          <w:hyperlink w:anchor="__RefHeading___Toc476669035">
            <w:r>
              <w:rPr>
                <w:rStyle w:val="IndexLink"/>
              </w:rPr>
              <w:t>11</w:t>
            </w:r>
          </w:hyperlink>
        </w:p>
        <w:p>
          <w:pPr>
            <w:pStyle w:val="TOC2"/>
            <w:rPr/>
          </w:pPr>
          <w:r>
            <w:rPr/>
            <w:t>2.3</w:t>
            <w:tab/>
            <w:t>Confirmation</w:t>
            <w:tab/>
          </w:r>
          <w:hyperlink w:anchor="__RefHeading___Toc476669036">
            <w:r>
              <w:rPr>
                <w:rStyle w:val="IndexLink"/>
              </w:rPr>
              <w:t>11</w:t>
            </w:r>
          </w:hyperlink>
        </w:p>
        <w:p>
          <w:pPr>
            <w:pStyle w:val="TOC2"/>
            <w:rPr/>
          </w:pPr>
          <w:r>
            <w:rPr/>
            <w:t>2.4</w:t>
            <w:tab/>
            <w:t>Additional Confirmation Terms</w:t>
            <w:tab/>
          </w:r>
          <w:hyperlink w:anchor="__RefHeading___Toc476669037">
            <w:r>
              <w:rPr>
                <w:rStyle w:val="IndexLink"/>
              </w:rPr>
              <w:t>12</w:t>
            </w:r>
          </w:hyperlink>
        </w:p>
        <w:p>
          <w:pPr>
            <w:pStyle w:val="TOC2"/>
            <w:rPr/>
          </w:pPr>
          <w:r>
            <w:rPr/>
            <w:t>2.5</w:t>
            <w:tab/>
            <w:t>Recording</w:t>
            <w:tab/>
          </w:r>
          <w:hyperlink w:anchor="__RefHeading___Toc476669038">
            <w:r>
              <w:rPr>
                <w:rStyle w:val="IndexLink"/>
              </w:rPr>
              <w:t>12</w:t>
            </w:r>
          </w:hyperlink>
        </w:p>
        <w:p>
          <w:pPr>
            <w:pStyle w:val="TOC1"/>
            <w:rPr/>
          </w:pPr>
          <w:r>
            <w:rPr/>
            <w:t>ARTICLE THREE:</w:t>
            <w:tab/>
            <w:t>OBLIGATIONS AND DELIVERIES</w:t>
            <w:tab/>
          </w:r>
          <w:hyperlink w:anchor="__RefHeading___Toc476669039">
            <w:r>
              <w:rPr>
                <w:rStyle w:val="IndexLink"/>
              </w:rPr>
              <w:t>12</w:t>
            </w:r>
          </w:hyperlink>
        </w:p>
        <w:p>
          <w:pPr>
            <w:pStyle w:val="TOC2"/>
            <w:rPr/>
          </w:pPr>
          <w:r>
            <w:rPr/>
            <w:t>3.1</w:t>
            <w:tab/>
            <w:t>Seller’s and Buyer’s Obligations</w:t>
            <w:tab/>
          </w:r>
          <w:hyperlink w:anchor="__RefHeading___Toc476669040">
            <w:r>
              <w:rPr>
                <w:rStyle w:val="IndexLink"/>
              </w:rPr>
              <w:t>12</w:t>
            </w:r>
          </w:hyperlink>
        </w:p>
        <w:p>
          <w:pPr>
            <w:pStyle w:val="TOC2"/>
            <w:rPr/>
          </w:pPr>
          <w:r>
            <w:rPr/>
            <w:t>3.2</w:t>
            <w:tab/>
            <w:t>Transmission and Scheduling</w:t>
            <w:tab/>
          </w:r>
          <w:hyperlink w:anchor="__RefHeading___Toc476669041">
            <w:r>
              <w:rPr>
                <w:rStyle w:val="IndexLink"/>
              </w:rPr>
              <w:t>13</w:t>
            </w:r>
          </w:hyperlink>
        </w:p>
        <w:p>
          <w:pPr>
            <w:pStyle w:val="TOC2"/>
            <w:rPr/>
          </w:pPr>
          <w:r>
            <w:rPr/>
            <w:t>3.3</w:t>
            <w:tab/>
            <w:t>Force Majeure</w:t>
            <w:tab/>
          </w:r>
          <w:hyperlink w:anchor="__RefHeading___Toc476669042">
            <w:r>
              <w:rPr>
                <w:rStyle w:val="IndexLink"/>
              </w:rPr>
              <w:t>13</w:t>
            </w:r>
          </w:hyperlink>
        </w:p>
        <w:p>
          <w:pPr>
            <w:pStyle w:val="TOC1"/>
            <w:rPr/>
          </w:pPr>
          <w:r>
            <w:rPr/>
            <w:t>ARTICLE FOUR:</w:t>
            <w:tab/>
            <w:t>REMEDIES FOR FAILURE TO DELIVER/RECEIVE</w:t>
            <w:tab/>
          </w:r>
          <w:hyperlink w:anchor="__RefHeading___Toc476669043">
            <w:r>
              <w:rPr>
                <w:rStyle w:val="IndexLink"/>
              </w:rPr>
              <w:t>13</w:t>
            </w:r>
          </w:hyperlink>
        </w:p>
        <w:p>
          <w:pPr>
            <w:pStyle w:val="TOC2"/>
            <w:rPr/>
          </w:pPr>
          <w:r>
            <w:rPr/>
            <w:t>4.1</w:t>
            <w:tab/>
            <w:t>Seller Failure</w:t>
            <w:tab/>
          </w:r>
          <w:hyperlink w:anchor="__RefHeading___Toc476669044">
            <w:r>
              <w:rPr>
                <w:rStyle w:val="IndexLink"/>
              </w:rPr>
              <w:t>13</w:t>
            </w:r>
          </w:hyperlink>
        </w:p>
        <w:p>
          <w:pPr>
            <w:pStyle w:val="TOC2"/>
            <w:rPr/>
          </w:pPr>
          <w:r>
            <w:rPr/>
            <w:t>4.2</w:t>
            <w:tab/>
            <w:t>Buyer Failure</w:t>
            <w:tab/>
          </w:r>
          <w:hyperlink w:anchor="__RefHeading___Toc476669045">
            <w:r>
              <w:rPr>
                <w:rStyle w:val="IndexLink"/>
              </w:rPr>
              <w:t>13</w:t>
            </w:r>
          </w:hyperlink>
        </w:p>
        <w:p>
          <w:pPr>
            <w:pStyle w:val="TOC1"/>
            <w:rPr/>
          </w:pPr>
          <w:r>
            <w:rPr/>
            <w:t>ARTICLE FIVE:</w:t>
            <w:tab/>
            <w:t>EVENTS OF DEFAULT; REMEDIES</w:t>
            <w:tab/>
          </w:r>
          <w:hyperlink w:anchor="__RefHeading___Toc476669046">
            <w:r>
              <w:rPr>
                <w:rStyle w:val="IndexLink"/>
              </w:rPr>
              <w:t>14</w:t>
            </w:r>
          </w:hyperlink>
        </w:p>
        <w:p>
          <w:pPr>
            <w:pStyle w:val="TOC2"/>
            <w:rPr/>
          </w:pPr>
          <w:r>
            <w:rPr/>
            <w:t>5.1</w:t>
            <w:tab/>
            <w:t>Events of Default</w:t>
            <w:tab/>
          </w:r>
          <w:hyperlink w:anchor="__RefHeading___Toc476669047">
            <w:r>
              <w:rPr>
                <w:rStyle w:val="IndexLink"/>
              </w:rPr>
              <w:t>14</w:t>
            </w:r>
          </w:hyperlink>
        </w:p>
        <w:p>
          <w:pPr>
            <w:pStyle w:val="TOC2"/>
            <w:rPr/>
          </w:pPr>
          <w:r>
            <w:rPr/>
            <w:t>5.2</w:t>
            <w:tab/>
            <w:t>Declaration of an Early Termination Date and Calculation of Settlement Amounts</w:t>
            <w:tab/>
          </w:r>
          <w:hyperlink w:anchor="__RefHeading___Toc476669048">
            <w:r>
              <w:rPr>
                <w:rStyle w:val="IndexLink"/>
              </w:rPr>
              <w:t>15</w:t>
            </w:r>
          </w:hyperlink>
        </w:p>
        <w:p>
          <w:pPr>
            <w:pStyle w:val="TOC2"/>
            <w:rPr/>
          </w:pPr>
          <w:r>
            <w:rPr/>
            <w:t>5.3</w:t>
            <w:tab/>
            <w:t>Net Out of Settlement Amounts</w:t>
            <w:tab/>
          </w:r>
          <w:hyperlink w:anchor="__RefHeading___Toc476669049">
            <w:r>
              <w:rPr>
                <w:rStyle w:val="IndexLink"/>
              </w:rPr>
              <w:t>15</w:t>
            </w:r>
          </w:hyperlink>
        </w:p>
        <w:p>
          <w:pPr>
            <w:pStyle w:val="TOC2"/>
            <w:rPr/>
          </w:pPr>
          <w:r>
            <w:rPr/>
            <w:t>5.4</w:t>
            <w:tab/>
            <w:t>Notice of Payment of Termination Payment</w:t>
            <w:tab/>
          </w:r>
          <w:hyperlink w:anchor="__RefHeading___Toc476669050">
            <w:r>
              <w:rPr>
                <w:rStyle w:val="IndexLink"/>
              </w:rPr>
              <w:t>16</w:t>
            </w:r>
          </w:hyperlink>
        </w:p>
        <w:p>
          <w:pPr>
            <w:pStyle w:val="TOC2"/>
            <w:rPr/>
          </w:pPr>
          <w:r>
            <w:rPr/>
            <w:t>5.5</w:t>
            <w:tab/>
            <w:t>Disputes With Respect to Termination Payment</w:t>
            <w:tab/>
          </w:r>
          <w:hyperlink w:anchor="__RefHeading___Toc476669051">
            <w:r>
              <w:rPr>
                <w:rStyle w:val="IndexLink"/>
              </w:rPr>
              <w:t>16</w:t>
            </w:r>
          </w:hyperlink>
        </w:p>
        <w:p>
          <w:pPr>
            <w:pStyle w:val="TOC2"/>
            <w:rPr/>
          </w:pPr>
          <w:r>
            <w:rPr/>
            <w:t>5.6</w:t>
            <w:tab/>
            <w:t>Closeout Setoffs</w:t>
            <w:tab/>
          </w:r>
          <w:hyperlink w:anchor="__RefHeading___Toc476669052">
            <w:r>
              <w:rPr>
                <w:rStyle w:val="IndexLink"/>
              </w:rPr>
              <w:t>16</w:t>
            </w:r>
          </w:hyperlink>
        </w:p>
        <w:p>
          <w:pPr>
            <w:pStyle w:val="TOC2"/>
            <w:rPr/>
          </w:pPr>
          <w:r>
            <w:rPr/>
            <w:t>5.7</w:t>
            <w:tab/>
            <w:t>Suspension of Performance</w:t>
            <w:tab/>
          </w:r>
          <w:hyperlink w:anchor="__RefHeading___Toc476669053">
            <w:r>
              <w:rPr>
                <w:rStyle w:val="IndexLink"/>
              </w:rPr>
              <w:t>17</w:t>
            </w:r>
          </w:hyperlink>
        </w:p>
        <w:p>
          <w:pPr>
            <w:pStyle w:val="TOC1"/>
            <w:rPr/>
          </w:pPr>
          <w:r>
            <w:rPr/>
            <w:t>ARTICLE SIX:</w:t>
            <w:tab/>
            <w:t>PAYMENT AND NETTING</w:t>
            <w:tab/>
          </w:r>
          <w:hyperlink w:anchor="__RefHeading___Toc476669054">
            <w:r>
              <w:rPr>
                <w:rStyle w:val="IndexLink"/>
              </w:rPr>
              <w:t>17</w:t>
            </w:r>
          </w:hyperlink>
        </w:p>
        <w:p>
          <w:pPr>
            <w:pStyle w:val="TOC2"/>
            <w:rPr/>
          </w:pPr>
          <w:r>
            <w:rPr/>
            <w:t>6.1</w:t>
            <w:tab/>
            <w:t>Billing Period</w:t>
            <w:tab/>
          </w:r>
          <w:hyperlink w:anchor="__RefHeading___Toc476669055">
            <w:r>
              <w:rPr>
                <w:rStyle w:val="IndexLink"/>
              </w:rPr>
              <w:t>17</w:t>
            </w:r>
          </w:hyperlink>
        </w:p>
        <w:p>
          <w:pPr>
            <w:pStyle w:val="TOC2"/>
            <w:rPr/>
          </w:pPr>
          <w:r>
            <w:rPr/>
            <w:t>6.2</w:t>
            <w:tab/>
            <w:t>Timeliness of Payment</w:t>
            <w:tab/>
          </w:r>
          <w:hyperlink w:anchor="__RefHeading___Toc476669056">
            <w:r>
              <w:rPr>
                <w:rStyle w:val="IndexLink"/>
              </w:rPr>
              <w:t>17</w:t>
            </w:r>
          </w:hyperlink>
        </w:p>
        <w:p>
          <w:pPr>
            <w:pStyle w:val="TOC2"/>
            <w:rPr/>
          </w:pPr>
          <w:r>
            <w:rPr/>
            <w:t>6.3</w:t>
            <w:tab/>
            <w:t>Disputes and Adjustments of Invoices</w:t>
            <w:tab/>
          </w:r>
          <w:hyperlink w:anchor="__RefHeading___Toc476669057">
            <w:r>
              <w:rPr>
                <w:rStyle w:val="IndexLink"/>
              </w:rPr>
              <w:t>17</w:t>
            </w:r>
          </w:hyperlink>
        </w:p>
        <w:p>
          <w:pPr>
            <w:pStyle w:val="TOC2"/>
            <w:rPr/>
          </w:pPr>
          <w:r>
            <w:rPr/>
            <w:t>6.4</w:t>
            <w:tab/>
            <w:t>Netting of Payments</w:t>
            <w:tab/>
          </w:r>
          <w:hyperlink w:anchor="__RefHeading___Toc476669058">
            <w:r>
              <w:rPr>
                <w:rStyle w:val="IndexLink"/>
              </w:rPr>
              <w:t>18</w:t>
            </w:r>
          </w:hyperlink>
        </w:p>
        <w:p>
          <w:pPr>
            <w:pStyle w:val="TOC2"/>
            <w:rPr/>
          </w:pPr>
          <w:r>
            <w:rPr/>
            <w:t>6.5</w:t>
            <w:tab/>
            <w:t>Payment Obligation Absent Netting</w:t>
            <w:tab/>
          </w:r>
          <w:hyperlink w:anchor="__RefHeading___Toc476669059">
            <w:r>
              <w:rPr>
                <w:rStyle w:val="IndexLink"/>
              </w:rPr>
              <w:t>18</w:t>
            </w:r>
          </w:hyperlink>
        </w:p>
        <w:p>
          <w:pPr>
            <w:pStyle w:val="TOC2"/>
            <w:rPr/>
          </w:pPr>
          <w:r>
            <w:rPr/>
            <w:t>6.6</w:t>
            <w:tab/>
            <w:t>Security</w:t>
            <w:tab/>
          </w:r>
          <w:hyperlink w:anchor="__RefHeading___Toc476669060">
            <w:r>
              <w:rPr>
                <w:rStyle w:val="IndexLink"/>
              </w:rPr>
              <w:t>18</w:t>
            </w:r>
          </w:hyperlink>
        </w:p>
        <w:p>
          <w:pPr>
            <w:pStyle w:val="TOC2"/>
            <w:rPr/>
          </w:pPr>
          <w:r>
            <w:rPr/>
            <w:t>6.7</w:t>
            <w:tab/>
            <w:t>Payment for Options</w:t>
            <w:tab/>
          </w:r>
          <w:hyperlink w:anchor="__RefHeading___Toc476669061">
            <w:r>
              <w:rPr>
                <w:rStyle w:val="IndexLink"/>
              </w:rPr>
              <w:t>18</w:t>
            </w:r>
          </w:hyperlink>
        </w:p>
        <w:p>
          <w:pPr>
            <w:pStyle w:val="TOC2"/>
            <w:rPr/>
          </w:pPr>
          <w:r>
            <w:rPr/>
            <w:t>6.8</w:t>
            <w:tab/>
            <w:t>Transaction Netting</w:t>
            <w:tab/>
          </w:r>
          <w:hyperlink w:anchor="__RefHeading___Toc476669062">
            <w:r>
              <w:rPr>
                <w:rStyle w:val="IndexLink"/>
              </w:rPr>
              <w:t>18</w:t>
            </w:r>
          </w:hyperlink>
        </w:p>
        <w:p>
          <w:pPr>
            <w:pStyle w:val="TOC1"/>
            <w:rPr/>
          </w:pPr>
          <w:r>
            <w:rPr/>
            <w:t>ARTICLE SEVEN:</w:t>
            <w:tab/>
            <w:t>LIMITATIONS</w:t>
            <w:tab/>
          </w:r>
          <w:hyperlink w:anchor="__RefHeading___Toc476669063">
            <w:r>
              <w:rPr>
                <w:rStyle w:val="IndexLink"/>
              </w:rPr>
              <w:t>19</w:t>
            </w:r>
          </w:hyperlink>
        </w:p>
        <w:p>
          <w:pPr>
            <w:pStyle w:val="TOC2"/>
            <w:rPr/>
          </w:pPr>
          <w:r>
            <w:rPr/>
            <w:t>7.1</w:t>
            <w:tab/>
            <w:t>Limitation of Remedies, Liability and Damages</w:t>
            <w:tab/>
          </w:r>
          <w:hyperlink w:anchor="__RefHeading___Toc476669064">
            <w:r>
              <w:rPr>
                <w:rStyle w:val="IndexLink"/>
              </w:rPr>
              <w:t>19</w:t>
            </w:r>
          </w:hyperlink>
        </w:p>
        <w:p>
          <w:pPr>
            <w:pStyle w:val="TOC1"/>
            <w:rPr/>
          </w:pPr>
          <w:r>
            <w:rPr/>
            <w:t>ARTICLE EIGHT:</w:t>
            <w:tab/>
            <w:t>CREDIT AND COLLATERAL REQUIREMENTS</w:t>
            <w:tab/>
          </w:r>
          <w:hyperlink w:anchor="__RefHeading___Toc476669065">
            <w:r>
              <w:rPr>
                <w:rStyle w:val="IndexLink"/>
              </w:rPr>
              <w:t>19</w:t>
            </w:r>
          </w:hyperlink>
        </w:p>
        <w:p>
          <w:pPr>
            <w:pStyle w:val="TOC2"/>
            <w:rPr/>
          </w:pPr>
          <w:r>
            <w:rPr/>
            <w:t>8.1</w:t>
            <w:tab/>
            <w:t>Party A Credit Protection</w:t>
            <w:tab/>
          </w:r>
          <w:hyperlink w:anchor="__RefHeading___Toc476669066">
            <w:r>
              <w:rPr>
                <w:rStyle w:val="IndexLink"/>
              </w:rPr>
              <w:t>19</w:t>
            </w:r>
          </w:hyperlink>
        </w:p>
        <w:p>
          <w:pPr>
            <w:pStyle w:val="TOC2"/>
            <w:rPr/>
          </w:pPr>
          <w:r>
            <w:rPr/>
            <w:t>8.2</w:t>
            <w:tab/>
            <w:t>Party B Credit Protection</w:t>
            <w:tab/>
          </w:r>
          <w:hyperlink w:anchor="__RefHeading___Toc476669067">
            <w:r>
              <w:rPr>
                <w:rStyle w:val="IndexLink"/>
              </w:rPr>
              <w:t>21</w:t>
            </w:r>
          </w:hyperlink>
        </w:p>
        <w:p>
          <w:pPr>
            <w:pStyle w:val="TOC2"/>
            <w:rPr/>
          </w:pPr>
          <w:r>
            <w:rPr/>
            <w:t>8.3</w:t>
            <w:tab/>
            <w:t>Grant of Security Interest/Remedies</w:t>
            <w:tab/>
          </w:r>
          <w:hyperlink w:anchor="__RefHeading___Toc476669068">
            <w:r>
              <w:rPr>
                <w:rStyle w:val="IndexLink"/>
              </w:rPr>
              <w:t>23</w:t>
            </w:r>
          </w:hyperlink>
        </w:p>
        <w:p>
          <w:pPr>
            <w:pStyle w:val="TOC1"/>
            <w:rPr/>
          </w:pPr>
          <w:r>
            <w:rPr/>
            <w:t>ARTICLE NINE:</w:t>
            <w:tab/>
            <w:t>GOVERNMENTAL CHARGES</w:t>
            <w:tab/>
          </w:r>
          <w:hyperlink w:anchor="__RefHeading___Toc476669069">
            <w:r>
              <w:rPr>
                <w:rStyle w:val="IndexLink"/>
              </w:rPr>
              <w:t>23</w:t>
            </w:r>
          </w:hyperlink>
        </w:p>
        <w:p>
          <w:pPr>
            <w:pStyle w:val="TOC2"/>
            <w:rPr/>
          </w:pPr>
          <w:r>
            <w:rPr/>
            <w:t>9.1</w:t>
            <w:tab/>
            <w:t>Cooperation</w:t>
            <w:tab/>
          </w:r>
          <w:hyperlink w:anchor="__RefHeading___Toc476669070">
            <w:r>
              <w:rPr>
                <w:rStyle w:val="IndexLink"/>
              </w:rPr>
              <w:t>23</w:t>
            </w:r>
          </w:hyperlink>
        </w:p>
        <w:p>
          <w:pPr>
            <w:pStyle w:val="TOC2"/>
            <w:rPr/>
          </w:pPr>
          <w:r>
            <w:rPr/>
            <w:t>9.2</w:t>
            <w:tab/>
            <w:t>Governmental Charges</w:t>
            <w:tab/>
          </w:r>
          <w:hyperlink w:anchor="__RefHeading___Toc476669071">
            <w:r>
              <w:rPr>
                <w:rStyle w:val="IndexLink"/>
              </w:rPr>
              <w:t>23</w:t>
            </w:r>
          </w:hyperlink>
        </w:p>
        <w:p>
          <w:pPr>
            <w:pStyle w:val="TOC1"/>
            <w:rPr/>
          </w:pPr>
          <w:r>
            <w:rPr/>
            <w:t>ARTICLE TEN:</w:t>
            <w:tab/>
            <w:t>MISCELLANEOUS</w:t>
            <w:tab/>
          </w:r>
          <w:hyperlink w:anchor="__RefHeading___Toc476669072">
            <w:r>
              <w:rPr>
                <w:rStyle w:val="IndexLink"/>
              </w:rPr>
              <w:t>24</w:t>
            </w:r>
          </w:hyperlink>
        </w:p>
        <w:p>
          <w:pPr>
            <w:pStyle w:val="TOC2"/>
            <w:rPr/>
          </w:pPr>
          <w:r>
            <w:rPr/>
            <w:t>10.1</w:t>
            <w:tab/>
            <w:t>Term of Master Agreement</w:t>
            <w:tab/>
          </w:r>
          <w:hyperlink w:anchor="__RefHeading___Toc476669073">
            <w:r>
              <w:rPr>
                <w:rStyle w:val="IndexLink"/>
              </w:rPr>
              <w:t>24</w:t>
            </w:r>
          </w:hyperlink>
        </w:p>
        <w:p>
          <w:pPr>
            <w:pStyle w:val="TOC2"/>
            <w:rPr/>
          </w:pPr>
          <w:r>
            <w:rPr/>
            <w:t>10.2</w:t>
            <w:tab/>
            <w:t>Representations and Warranties</w:t>
            <w:tab/>
          </w:r>
          <w:hyperlink w:anchor="__RefHeading___Toc476669074">
            <w:r>
              <w:rPr>
                <w:rStyle w:val="IndexLink"/>
              </w:rPr>
              <w:t>24</w:t>
            </w:r>
          </w:hyperlink>
        </w:p>
        <w:p>
          <w:pPr>
            <w:pStyle w:val="TOC2"/>
            <w:rPr/>
          </w:pPr>
          <w:r>
            <w:rPr/>
            <w:t>10.3</w:t>
            <w:tab/>
            <w:t>Title and Risk of Loss</w:t>
            <w:tab/>
          </w:r>
          <w:hyperlink w:anchor="__RefHeading___Toc476669075">
            <w:r>
              <w:rPr>
                <w:rStyle w:val="IndexLink"/>
              </w:rPr>
              <w:t>25</w:t>
            </w:r>
          </w:hyperlink>
        </w:p>
        <w:p>
          <w:pPr>
            <w:pStyle w:val="TOC2"/>
            <w:rPr/>
          </w:pPr>
          <w:r>
            <w:rPr/>
            <w:t>10.4</w:t>
            <w:tab/>
            <w:t>Indemnity</w:t>
            <w:tab/>
          </w:r>
          <w:hyperlink w:anchor="__RefHeading___Toc476669076">
            <w:r>
              <w:rPr>
                <w:rStyle w:val="IndexLink"/>
              </w:rPr>
              <w:t>26</w:t>
            </w:r>
          </w:hyperlink>
        </w:p>
        <w:p>
          <w:pPr>
            <w:pStyle w:val="TOC2"/>
            <w:rPr/>
          </w:pPr>
          <w:r>
            <w:rPr/>
            <w:t>10.5</w:t>
            <w:tab/>
            <w:t>Assignment</w:t>
            <w:tab/>
          </w:r>
          <w:hyperlink w:anchor="__RefHeading___Toc476669077">
            <w:r>
              <w:rPr>
                <w:rStyle w:val="IndexLink"/>
              </w:rPr>
              <w:t>26</w:t>
            </w:r>
          </w:hyperlink>
        </w:p>
        <w:p>
          <w:pPr>
            <w:pStyle w:val="TOC2"/>
            <w:rPr/>
          </w:pPr>
          <w:r>
            <w:rPr/>
            <w:t>10.6</w:t>
            <w:tab/>
            <w:t>Governing Law</w:t>
            <w:tab/>
          </w:r>
          <w:hyperlink w:anchor="__RefHeading___Toc476669078">
            <w:r>
              <w:rPr>
                <w:rStyle w:val="IndexLink"/>
              </w:rPr>
              <w:t>26</w:t>
            </w:r>
          </w:hyperlink>
        </w:p>
        <w:p>
          <w:pPr>
            <w:pStyle w:val="TOC2"/>
            <w:rPr/>
          </w:pPr>
          <w:r>
            <w:rPr/>
            <w:t>10.7</w:t>
            <w:tab/>
            <w:t>Notices</w:t>
            <w:tab/>
          </w:r>
          <w:hyperlink w:anchor="__RefHeading___Toc476669079">
            <w:r>
              <w:rPr>
                <w:rStyle w:val="IndexLink"/>
              </w:rPr>
              <w:t>26</w:t>
            </w:r>
          </w:hyperlink>
        </w:p>
        <w:p>
          <w:pPr>
            <w:pStyle w:val="TOC2"/>
            <w:rPr/>
          </w:pPr>
          <w:r>
            <w:rPr/>
            <w:t>10.8</w:t>
            <w:tab/>
            <w:t>General</w:t>
            <w:tab/>
          </w:r>
          <w:hyperlink w:anchor="__RefHeading___Toc476669080">
            <w:r>
              <w:rPr>
                <w:rStyle w:val="IndexLink"/>
              </w:rPr>
              <w:t>26</w:t>
            </w:r>
          </w:hyperlink>
        </w:p>
        <w:p>
          <w:pPr>
            <w:pStyle w:val="TOC2"/>
            <w:rPr/>
          </w:pPr>
          <w:r>
            <w:rPr/>
            <w:t>10.9</w:t>
            <w:tab/>
            <w:t>Audit</w:t>
            <w:tab/>
          </w:r>
          <w:hyperlink w:anchor="__RefHeading___Toc476669081">
            <w:r>
              <w:rPr>
                <w:rStyle w:val="IndexLink"/>
              </w:rPr>
              <w:t>27</w:t>
            </w:r>
          </w:hyperlink>
        </w:p>
        <w:p>
          <w:pPr>
            <w:pStyle w:val="TOC2"/>
            <w:rPr/>
          </w:pPr>
          <w:r>
            <w:rPr/>
            <w:t>10.10</w:t>
            <w:tab/>
            <w:t>Forward Contract</w:t>
            <w:tab/>
          </w:r>
          <w:hyperlink w:anchor="__RefHeading___Toc476669082">
            <w:r>
              <w:rPr>
                <w:rStyle w:val="IndexLink"/>
              </w:rPr>
              <w:t>27</w:t>
            </w:r>
          </w:hyperlink>
        </w:p>
        <w:p>
          <w:pPr>
            <w:pStyle w:val="TOC2"/>
            <w:rPr/>
          </w:pPr>
          <w:r>
            <w:rPr/>
            <w:t>10.11</w:t>
            <w:tab/>
            <w:t>Confidentiality</w:t>
            <w:tab/>
          </w:r>
          <w:hyperlink w:anchor="__RefHeading___Toc476669083">
            <w:r>
              <w:rPr>
                <w:rStyle w:val="IndexLink"/>
              </w:rPr>
              <w:t>27</w:t>
            </w:r>
          </w:hyperlink>
        </w:p>
        <w:p>
          <w:pPr>
            <w:pStyle w:val="TOC1"/>
            <w:rPr/>
          </w:pPr>
          <w:r>
            <w:rPr/>
            <w:t>SCHEDULE M:  GOVERNMENTAL ENTITY OR PUBLIC POWER SYSTEMS</w:t>
            <w:tab/>
          </w:r>
          <w:hyperlink w:anchor="__RefHeading___Toc476669084">
            <w:r>
              <w:rPr>
                <w:rStyle w:val="IndexLink"/>
              </w:rPr>
              <w:t>29</w:t>
            </w:r>
          </w:hyperlink>
        </w:p>
        <w:p>
          <w:pPr>
            <w:pStyle w:val="TOC1"/>
            <w:rPr/>
          </w:pPr>
          <w:r>
            <w:rPr/>
            <w:t>SCHEDULE P:  PRODUCTS AND RELATED DEFINITIONS</w:t>
            <w:tab/>
          </w:r>
          <w:hyperlink w:anchor="__RefHeading___Toc476669085">
            <w:r>
              <w:rPr>
                <w:rStyle w:val="IndexLink"/>
              </w:rPr>
              <w:t>33</w:t>
            </w:r>
          </w:hyperlink>
        </w:p>
        <w:p>
          <w:pPr>
            <w:pStyle w:val="TOC1"/>
            <w:rPr/>
          </w:pPr>
          <w:r>
            <w:rPr/>
            <w:t>EXHIBIT A:  CONFIRMATION LETTER</w:t>
            <w:tab/>
          </w:r>
          <w:hyperlink w:anchor="__RefHeading___Toc476669086">
            <w:r>
              <w:rPr>
                <w:rStyle w:val="IndexLink"/>
              </w:rPr>
              <w:t>40</w:t>
            </w:r>
          </w:hyperlink>
          <w:r>
            <w:rPr>
              <w:rStyle w:val="IndexLink"/>
            </w:rPr>
            <w:fldChar w:fldCharType="end"/>
          </w:r>
        </w:p>
      </w:sdtContent>
    </w:sdt>
    <w:p>
      <w:pPr>
        <w:pStyle w:val="Normal"/>
        <w:rPr>
          <w:caps/>
          <w:lang w:val="en-CA"/>
        </w:rPr>
      </w:pPr>
      <w:r>
        <w:rPr>
          <w:caps/>
          <w:lang w:val="en-CA"/>
        </w:rPr>
      </w:r>
    </w:p>
    <w:p>
      <w:pPr>
        <w:pStyle w:val="Normal"/>
        <w:rPr/>
      </w:pPr>
      <w:r>
        <w:rPr/>
      </w:r>
    </w:p>
    <w:p>
      <w:pPr>
        <w:sectPr>
          <w:footerReference w:type="default" r:id="rId6"/>
          <w:footerReference w:type="first" r:id="rId7"/>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1" w:name="__RefHeading___Toc476669030"/>
      <w:bookmarkEnd w:id="1"/>
    </w:p>
    <w:p>
      <w:pPr>
        <w:pStyle w:val="coverbody"/>
        <w:rPr/>
      </w:pPr>
      <w:r>
        <w:rPr/>
        <w:t xml:space="preserve">This </w:t>
      </w:r>
      <w:r>
        <w:rPr>
          <w:i/>
        </w:rPr>
        <w:t>Master Power Purchase and Sale Agreement</w:t>
      </w:r>
      <w:r>
        <w:rPr/>
        <w:t xml:space="preserve"> (“</w:t>
      </w:r>
      <w:r>
        <w:rPr>
          <w:i/>
        </w:rPr>
        <w:t>Master Agreement</w:t>
      </w:r>
      <w:r>
        <w:rPr/>
        <w:t xml:space="preserve">” ) is made as of the following date: _________________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9590" w:type="dxa"/>
        <w:jc w:val="start"/>
        <w:tblInd w:w="0" w:type="dxa"/>
        <w:tblLayout w:type="fixed"/>
        <w:tblCellMar>
          <w:top w:w="0" w:type="dxa"/>
          <w:start w:w="108" w:type="dxa"/>
          <w:bottom w:w="0" w:type="dxa"/>
          <w:end w:w="108" w:type="dxa"/>
        </w:tblCellMar>
      </w:tblPr>
      <w:tblGrid>
        <w:gridCol w:w="4795"/>
        <w:gridCol w:w="4795"/>
      </w:tblGrid>
      <w:tr>
        <w:trPr/>
        <w:tc>
          <w:tcPr>
            <w:tcW w:w="4795" w:type="dxa"/>
            <w:tcBorders/>
          </w:tcPr>
          <w:p>
            <w:pPr>
              <w:pStyle w:val="Normal"/>
              <w:tabs>
                <w:tab w:val="clear" w:pos="720"/>
                <w:tab w:val="right" w:pos="4320" w:leader="none"/>
              </w:tabs>
              <w:spacing w:before="0" w:after="160"/>
              <w:rPr>
                <w:sz w:val="20"/>
              </w:rPr>
            </w:pPr>
            <w:r>
              <w:rPr>
                <w:sz w:val="20"/>
              </w:rPr>
              <w:t>Name (“__________________” or “Party A”)</w:t>
            </w:r>
          </w:p>
        </w:tc>
        <w:tc>
          <w:tcPr>
            <w:tcW w:w="4795" w:type="dxa"/>
            <w:tcBorders/>
          </w:tcPr>
          <w:p>
            <w:pPr>
              <w:pStyle w:val="Normal"/>
              <w:tabs>
                <w:tab w:val="clear" w:pos="720"/>
                <w:tab w:val="right" w:pos="4475" w:leader="none"/>
              </w:tabs>
              <w:spacing w:before="0" w:after="160"/>
              <w:ind w:start="245" w:end="0"/>
              <w:rPr>
                <w:sz w:val="20"/>
              </w:rPr>
            </w:pPr>
            <w:r>
              <w:rPr>
                <w:sz w:val="20"/>
              </w:rPr>
              <w:t>Name (“Counterparty” or “Party B”)</w:t>
            </w:r>
          </w:p>
        </w:tc>
      </w:tr>
      <w:tr>
        <w:trPr/>
        <w:tc>
          <w:tcPr>
            <w:tcW w:w="4795" w:type="dxa"/>
            <w:tcBorders/>
          </w:tcPr>
          <w:p>
            <w:pPr>
              <w:pStyle w:val="Normal"/>
              <w:tabs>
                <w:tab w:val="clear" w:pos="720"/>
                <w:tab w:val="right" w:pos="4320" w:leader="none"/>
              </w:tabs>
              <w:spacing w:before="0" w:after="160"/>
              <w:rPr>
                <w:sz w:val="20"/>
              </w:rPr>
            </w:pPr>
            <w:r>
              <w:rPr>
                <w:sz w:val="20"/>
              </w:rPr>
              <w:t>All Notices:</w:t>
            </w:r>
          </w:p>
        </w:tc>
        <w:tc>
          <w:tcPr>
            <w:tcW w:w="4795" w:type="dxa"/>
            <w:tcBorders/>
          </w:tcPr>
          <w:p>
            <w:pPr>
              <w:pStyle w:val="Normal"/>
              <w:tabs>
                <w:tab w:val="clear" w:pos="720"/>
                <w:tab w:val="right" w:pos="4475" w:leader="none"/>
              </w:tabs>
              <w:spacing w:before="0" w:after="160"/>
              <w:ind w:start="245" w:end="0"/>
              <w:rPr>
                <w:sz w:val="20"/>
              </w:rPr>
            </w:pPr>
            <w:r>
              <w:rPr>
                <w:sz w:val="20"/>
              </w:rPr>
              <w:t>All Notices:</w:t>
            </w:r>
          </w:p>
        </w:tc>
      </w:tr>
      <w:tr>
        <w:trPr/>
        <w:tc>
          <w:tcPr>
            <w:tcW w:w="4795" w:type="dxa"/>
            <w:tcBorders/>
          </w:tcPr>
          <w:p>
            <w:pPr>
              <w:pStyle w:val="Normal"/>
              <w:tabs>
                <w:tab w:val="clear" w:pos="720"/>
                <w:tab w:val="right" w:pos="4320" w:leader="none"/>
              </w:tabs>
              <w:spacing w:before="0" w:after="160"/>
              <w:rPr>
                <w:sz w:val="20"/>
              </w:rPr>
            </w:pPr>
            <w:r>
              <w:rPr>
                <w:sz w:val="20"/>
              </w:rPr>
              <w:t xml:space="preserve">Street: </w:t>
            </w:r>
            <w:r>
              <w:rPr>
                <w:sz w:val="20"/>
                <w:u w:val="single"/>
              </w:rPr>
              <w:tab/>
            </w:r>
          </w:p>
        </w:tc>
        <w:tc>
          <w:tcPr>
            <w:tcW w:w="4795" w:type="dxa"/>
            <w:tcBorders/>
          </w:tcPr>
          <w:p>
            <w:pPr>
              <w:pStyle w:val="Normal"/>
              <w:tabs>
                <w:tab w:val="clear" w:pos="720"/>
                <w:tab w:val="right" w:pos="4475" w:leader="none"/>
              </w:tabs>
              <w:spacing w:before="0" w:after="160"/>
              <w:ind w:start="245" w:end="0"/>
              <w:rPr>
                <w:sz w:val="20"/>
              </w:rPr>
            </w:pPr>
            <w:r>
              <w:rPr>
                <w:sz w:val="20"/>
              </w:rPr>
              <w:t xml:space="preserve">Street: </w:t>
            </w:r>
            <w:r>
              <w:rPr>
                <w:sz w:val="20"/>
                <w:u w:val="single"/>
              </w:rPr>
              <w:tab/>
            </w:r>
          </w:p>
        </w:tc>
      </w:tr>
      <w:tr>
        <w:trPr/>
        <w:tc>
          <w:tcPr>
            <w:tcW w:w="4795" w:type="dxa"/>
            <w:tcBorders/>
          </w:tcPr>
          <w:p>
            <w:pPr>
              <w:pStyle w:val="Normal"/>
              <w:tabs>
                <w:tab w:val="clear" w:pos="720"/>
                <w:tab w:val="left" w:pos="2880" w:leader="none"/>
                <w:tab w:val="right" w:pos="4320" w:leader="none"/>
              </w:tabs>
              <w:spacing w:before="0" w:after="160"/>
              <w:rPr>
                <w:sz w:val="20"/>
              </w:rPr>
            </w:pPr>
            <w:r>
              <w:rPr>
                <w:sz w:val="20"/>
              </w:rPr>
              <w:t xml:space="preserve">City: </w:t>
            </w:r>
            <w:r>
              <w:rPr>
                <w:sz w:val="20"/>
                <w:u w:val="single"/>
              </w:rPr>
              <w:tab/>
            </w:r>
            <w:r>
              <w:rPr>
                <w:sz w:val="20"/>
              </w:rPr>
              <w:t xml:space="preserve">Zip: </w:t>
            </w:r>
            <w:r>
              <w:rPr>
                <w:sz w:val="20"/>
                <w:u w:val="single"/>
              </w:rPr>
              <w:tab/>
            </w:r>
          </w:p>
        </w:tc>
        <w:tc>
          <w:tcPr>
            <w:tcW w:w="4795" w:type="dxa"/>
            <w:tcBorders/>
          </w:tcPr>
          <w:p>
            <w:pPr>
              <w:pStyle w:val="Normal"/>
              <w:tabs>
                <w:tab w:val="clear" w:pos="720"/>
                <w:tab w:val="left" w:pos="2880" w:leader="none"/>
                <w:tab w:val="right" w:pos="4475" w:leader="none"/>
              </w:tabs>
              <w:spacing w:before="0" w:after="160"/>
              <w:ind w:start="245" w:end="0"/>
              <w:rPr>
                <w:sz w:val="20"/>
              </w:rPr>
            </w:pPr>
            <w:r>
              <w:rPr>
                <w:sz w:val="20"/>
              </w:rPr>
              <w:t xml:space="preserve">City: </w:t>
            </w:r>
            <w:r>
              <w:rPr>
                <w:sz w:val="20"/>
                <w:u w:val="single"/>
              </w:rPr>
              <w:tab/>
            </w:r>
            <w:r>
              <w:rPr>
                <w:sz w:val="20"/>
              </w:rPr>
              <w:t xml:space="preserve">Zip: </w:t>
            </w:r>
            <w:r>
              <w:rPr>
                <w:sz w:val="20"/>
                <w:u w:val="single"/>
              </w:rPr>
              <w:tab/>
            </w:r>
          </w:p>
        </w:tc>
      </w:tr>
      <w:tr>
        <w:trPr/>
        <w:tc>
          <w:tcPr>
            <w:tcW w:w="4795" w:type="dxa"/>
            <w:tcBorders/>
          </w:tcPr>
          <w:p>
            <w:pPr>
              <w:pStyle w:val="Normal"/>
              <w:tabs>
                <w:tab w:val="clear" w:pos="720"/>
                <w:tab w:val="right" w:pos="4320" w:leader="none"/>
              </w:tabs>
              <w:spacing w:before="0" w:after="20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c>
          <w:tcPr>
            <w:tcW w:w="4795" w:type="dxa"/>
            <w:tcBorders/>
          </w:tcPr>
          <w:p>
            <w:pPr>
              <w:pStyle w:val="Normal"/>
              <w:tabs>
                <w:tab w:val="clear" w:pos="720"/>
                <w:tab w:val="right" w:pos="4475" w:leader="none"/>
              </w:tabs>
              <w:spacing w:before="0" w:after="200"/>
              <w:ind w:start="245" w:end="0"/>
              <w:rPr>
                <w:sz w:val="20"/>
              </w:rPr>
            </w:pPr>
            <w:r>
              <w:rPr>
                <w:sz w:val="20"/>
              </w:rPr>
              <w:t>Attn: Contract Administration</w:t>
              <w:br/>
              <w:t xml:space="preserve">Phone: </w:t>
            </w:r>
            <w:r>
              <w:rPr>
                <w:sz w:val="20"/>
                <w:u w:val="single"/>
              </w:rPr>
              <w:tab/>
            </w:r>
            <w:r>
              <w:rPr>
                <w:sz w:val="20"/>
              </w:rPr>
              <w:br/>
              <w:t xml:space="preserve">Facsimile: </w:t>
            </w:r>
            <w:r>
              <w:rPr>
                <w:sz w:val="20"/>
                <w:u w:val="single"/>
              </w:rPr>
              <w:tab/>
            </w:r>
            <w:r>
              <w:rPr>
                <w:sz w:val="20"/>
              </w:rPr>
              <w:br/>
              <w:t xml:space="preserve">Duns: </w:t>
            </w:r>
            <w:r>
              <w:rPr>
                <w:sz w:val="20"/>
                <w:u w:val="single"/>
              </w:rPr>
              <w:tab/>
            </w:r>
            <w:r>
              <w:rPr>
                <w:sz w:val="20"/>
              </w:rPr>
              <w:br/>
              <w:t xml:space="preserve">Federal Tax ID Number: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Invoices: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Scheduling:</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Payments: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Wire Transfer:</w:t>
            </w:r>
            <w:r>
              <w:rPr>
                <w:sz w:val="20"/>
              </w:rPr>
              <w:br/>
              <w:t xml:space="preserve">BNK: </w:t>
            </w:r>
            <w:r>
              <w:rPr>
                <w:sz w:val="20"/>
                <w:u w:val="single"/>
              </w:rPr>
              <w:tab/>
            </w:r>
            <w:r>
              <w:rPr>
                <w:sz w:val="20"/>
              </w:rPr>
              <w:br/>
              <w:t xml:space="preserve">ABA: </w:t>
            </w:r>
            <w:r>
              <w:rPr>
                <w:sz w:val="20"/>
                <w:u w:val="single"/>
              </w:rPr>
              <w:tab/>
            </w:r>
            <w:r>
              <w:rPr>
                <w:sz w:val="20"/>
              </w:rPr>
              <w:br/>
              <w:t xml:space="preserve">ACCT: </w:t>
            </w:r>
            <w:r>
              <w:rPr>
                <w:sz w:val="20"/>
                <w:u w:val="single"/>
              </w:rPr>
              <w:tab/>
            </w:r>
          </w:p>
        </w:tc>
      </w:tr>
      <w:tr>
        <w:trPr/>
        <w:tc>
          <w:tcPr>
            <w:tcW w:w="4795" w:type="dxa"/>
            <w:tcBorders/>
          </w:tcPr>
          <w:p>
            <w:pPr>
              <w:pStyle w:val="Normal"/>
              <w:tabs>
                <w:tab w:val="clear" w:pos="720"/>
                <w:tab w:val="right" w:pos="4320" w:leader="none"/>
              </w:tabs>
              <w:spacing w:before="0" w:after="200"/>
              <w:ind w:hanging="288" w:start="288"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spacing w:before="0" w:after="200"/>
              <w:ind w:hanging="288" w:start="533" w:end="0"/>
              <w:rPr>
                <w:sz w:val="20"/>
              </w:rPr>
            </w:pPr>
            <w:r>
              <w:rPr>
                <w:b/>
                <w:sz w:val="20"/>
              </w:rPr>
              <w:t>Credit and Collections:</w:t>
            </w:r>
            <w:r>
              <w:rPr>
                <w:sz w:val="20"/>
              </w:rPr>
              <w:b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r>
        <w:trPr/>
        <w:tc>
          <w:tcPr>
            <w:tcW w:w="4795" w:type="dxa"/>
            <w:tcBorders/>
          </w:tcPr>
          <w:p>
            <w:pPr>
              <w:pStyle w:val="Normal"/>
              <w:tabs>
                <w:tab w:val="clear" w:pos="720"/>
                <w:tab w:val="right" w:pos="4320" w:leader="none"/>
              </w:tabs>
              <w:rPr>
                <w:sz w:val="20"/>
              </w:rPr>
            </w:pPr>
            <w:r>
              <w:rPr>
                <w:sz w:val="20"/>
              </w:rPr>
              <w:t>With additional Notices of an Event of Default or Potential Event of Default to:</w:t>
            </w:r>
          </w:p>
          <w:p>
            <w:pPr>
              <w:pStyle w:val="Normal"/>
              <w:tabs>
                <w:tab w:val="clear" w:pos="720"/>
                <w:tab w:val="right" w:pos="4320" w:leader="none"/>
              </w:tabs>
              <w:ind w:start="245"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c>
          <w:tcPr>
            <w:tcW w:w="4795" w:type="dxa"/>
            <w:tcBorders/>
          </w:tcPr>
          <w:p>
            <w:pPr>
              <w:pStyle w:val="Normal"/>
              <w:tabs>
                <w:tab w:val="clear" w:pos="720"/>
                <w:tab w:val="right" w:pos="4475" w:leader="none"/>
              </w:tabs>
              <w:ind w:start="245" w:end="0"/>
              <w:rPr>
                <w:sz w:val="20"/>
              </w:rPr>
            </w:pPr>
            <w:r>
              <w:rPr>
                <w:sz w:val="20"/>
              </w:rPr>
              <w:t>With additional Notices of an Event of Default or Potential Event of Default to:</w:t>
            </w:r>
          </w:p>
          <w:p>
            <w:pPr>
              <w:pStyle w:val="Normal"/>
              <w:tabs>
                <w:tab w:val="clear" w:pos="720"/>
                <w:tab w:val="right" w:pos="4475" w:leader="none"/>
              </w:tabs>
              <w:ind w:start="533" w:end="0"/>
              <w:rPr>
                <w:sz w:val="20"/>
              </w:rPr>
            </w:pPr>
            <w:r>
              <w:rPr>
                <w:sz w:val="20"/>
              </w:rPr>
              <w:t xml:space="preserve">Attn: </w:t>
            </w:r>
            <w:r>
              <w:rPr>
                <w:sz w:val="20"/>
                <w:u w:val="single"/>
              </w:rPr>
              <w:tab/>
            </w:r>
            <w:r>
              <w:rPr>
                <w:sz w:val="20"/>
              </w:rPr>
              <w:br/>
              <w:t xml:space="preserve">Phone: </w:t>
            </w:r>
            <w:r>
              <w:rPr>
                <w:sz w:val="20"/>
                <w:u w:val="single"/>
              </w:rPr>
              <w:tab/>
            </w:r>
            <w:r>
              <w:rPr>
                <w:sz w:val="20"/>
              </w:rPr>
              <w:br/>
              <w:t xml:space="preserve">Facsimile: </w:t>
            </w:r>
            <w:r>
              <w:rPr>
                <w:sz w:val="20"/>
                <w:u w:val="single"/>
              </w:rPr>
              <w:tab/>
            </w:r>
          </w:p>
        </w:tc>
      </w:tr>
    </w:tbl>
    <w:p>
      <w:pPr>
        <w:pStyle w:val="Normal"/>
        <w:rPr>
          <w:sz w:val="20"/>
        </w:rPr>
      </w:pPr>
      <w:r>
        <w:rPr>
          <w:sz w:val="20"/>
        </w:rPr>
      </w:r>
      <w:r>
        <w:br w:type="page"/>
      </w:r>
    </w:p>
    <w:p>
      <w:pPr>
        <w:pStyle w:val="Normal"/>
        <w:rPr>
          <w:sz w:val="20"/>
        </w:rPr>
      </w:pPr>
      <w:r>
        <w:rPr>
          <w:sz w:val="20"/>
        </w:rPr>
      </w:r>
    </w:p>
    <w:p>
      <w:pPr>
        <w:pStyle w:val="coverbody"/>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A Tariff</w:t>
        <w:tab/>
        <w:t xml:space="preserve">Tariff </w:t>
      </w:r>
      <w:r>
        <w:rPr>
          <w:u w:val="single"/>
        </w:rPr>
        <w:tab/>
      </w:r>
      <w:r>
        <w:rPr/>
        <w:tab/>
        <w:t xml:space="preserve">Dated </w:t>
      </w:r>
      <w:r>
        <w:rPr>
          <w:u w:val="single"/>
        </w:rPr>
        <w:tab/>
      </w:r>
      <w:r>
        <w:rPr/>
        <w:tab/>
        <w:t xml:space="preserve">Docket Number </w:t>
      </w:r>
      <w:r>
        <w:rPr>
          <w:u w:val="single"/>
        </w:rPr>
        <w:tab/>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9576" w:type="dxa"/>
        <w:jc w:val="start"/>
        <w:tblInd w:w="0" w:type="dxa"/>
        <w:tblLayout w:type="fixed"/>
        <w:tblCellMar>
          <w:top w:w="0" w:type="dxa"/>
          <w:start w:w="108" w:type="dxa"/>
          <w:bottom w:w="0" w:type="dxa"/>
          <w:end w:w="108" w:type="dxa"/>
        </w:tblCellMar>
      </w:tblPr>
      <w:tblGrid>
        <w:gridCol w:w="3348"/>
        <w:gridCol w:w="3150"/>
        <w:gridCol w:w="3060"/>
        <w:gridCol w:w="18"/>
      </w:tblGrid>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Transaction Terms and Conditions</w:t>
            </w:r>
          </w:p>
        </w:tc>
        <w:tc>
          <w:tcPr>
            <w:tcW w:w="6228" w:type="dxa"/>
            <w:gridSpan w:val="2"/>
            <w:tcBorders/>
          </w:tcPr>
          <w:p>
            <w:pPr>
              <w:pStyle w:val="Normal"/>
              <w:spacing w:before="0" w:after="200"/>
              <w:rPr/>
            </w:pPr>
            <w:r>
              <w:rPr>
                <w:rFonts w:eastAsia="Typographic Ext" w:cs="Typographic Ext" w:ascii="Typographic Ext" w:hAnsi="Typographic Ext"/>
                <w:sz w:val="20"/>
              </w:rPr>
              <w:sym w:font="Typographic Ext" w:char="f03a"/>
            </w:r>
            <w:r>
              <w:rPr>
                <w:sz w:val="20"/>
              </w:rPr>
              <w:t xml:space="preserve">  </w:t>
            </w:r>
            <w:r>
              <w:rPr>
                <w:sz w:val="20"/>
              </w:rPr>
              <w:t>Optional provision in Section 2.4.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u w:val="single"/>
              </w:rPr>
            </w:pPr>
            <w:r>
              <w:rPr>
                <w:sz w:val="20"/>
              </w:rPr>
              <w:t xml:space="preserve">Remedies for Failure </w:t>
              <w:br/>
              <w:t>to Deliver or Receive</w:t>
            </w:r>
          </w:p>
        </w:tc>
        <w:tc>
          <w:tcPr>
            <w:tcW w:w="6228" w:type="dxa"/>
            <w:gridSpan w:val="2"/>
            <w:tcBorders/>
          </w:tcPr>
          <w:p>
            <w:pPr>
              <w:pStyle w:val="Normal"/>
              <w:spacing w:before="0" w:after="200"/>
              <w:rPr/>
            </w:pPr>
            <w:r>
              <w:rPr>
                <w:rFonts w:eastAsia="Typographic Ext" w:cs="Typographic Ext" w:ascii="Typographic Ext" w:hAnsi="Typographic Ext"/>
                <w:sz w:val="20"/>
              </w:rPr>
              <w:sym w:font="Typographic Ext" w:char="f03a"/>
            </w:r>
            <w:r>
              <w:rPr>
                <w:sz w:val="20"/>
              </w:rPr>
              <w:t xml:space="preserve">  </w:t>
            </w:r>
            <w:r>
              <w:rPr>
                <w:sz w:val="20"/>
              </w:rPr>
              <w:t>Accelerated Payment of Damages. If not checked, inapplicable.</w:t>
            </w:r>
          </w:p>
        </w:tc>
      </w:tr>
      <w:tr>
        <w:trPr/>
        <w:tc>
          <w:tcPr>
            <w:tcW w:w="334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6228" w:type="dxa"/>
            <w:gridSpan w:val="2"/>
            <w:tcBorders>
              <w:top w:val="single" w:sz="6" w:space="0" w:color="000000"/>
            </w:tcBorders>
          </w:tcPr>
          <w:p>
            <w:pPr>
              <w:pStyle w:val="Normal"/>
              <w:spacing w:before="120" w:after="120"/>
              <w:rPr/>
            </w:pPr>
            <w:r>
              <w:rPr>
                <w:rFonts w:eastAsia="Typographic Ext" w:cs="Typographic Ext" w:ascii="Typographic Ext" w:hAnsi="Typographic Ext"/>
                <w:sz w:val="20"/>
              </w:rPr>
              <w:sym w:font="Typographic Ext" w:char="f03a"/>
            </w:r>
            <w:r>
              <w:rPr>
                <w:sz w:val="20"/>
              </w:rPr>
              <w:t xml:space="preserve">  </w:t>
            </w:r>
            <w:r>
              <w:rPr>
                <w:sz w:val="20"/>
              </w:rPr>
              <w:t>Cross Default for Party A:</w:t>
            </w:r>
          </w:p>
        </w:tc>
      </w:tr>
      <w:tr>
        <w:trPr/>
        <w:tc>
          <w:tcPr>
            <w:tcW w:w="3348" w:type="dxa"/>
            <w:tcBorders/>
          </w:tcPr>
          <w:p>
            <w:pPr>
              <w:pStyle w:val="Normal"/>
              <w:spacing w:before="0" w:after="200"/>
              <w:rPr>
                <w:sz w:val="20"/>
                <w:u w:val="single"/>
              </w:rPr>
            </w:pPr>
            <w:r>
              <w:rPr>
                <w:sz w:val="20"/>
              </w:rPr>
              <w:t>Events of Default; Remedies</w:t>
            </w:r>
          </w:p>
        </w:tc>
        <w:tc>
          <w:tcPr>
            <w:tcW w:w="3150" w:type="dxa"/>
            <w:tcBorders/>
          </w:tcPr>
          <w:p>
            <w:pPr>
              <w:pStyle w:val="Normal"/>
              <w:tabs>
                <w:tab w:val="clear" w:pos="720"/>
                <w:tab w:val="right" w:pos="2673" w:leader="none"/>
              </w:tabs>
              <w:spacing w:before="0" w:after="200"/>
              <w:rPr>
                <w:sz w:val="20"/>
              </w:rPr>
            </w:pPr>
            <w:r>
              <w:rPr>
                <w:rFonts w:eastAsia="Typographic Ext" w:cs="Typographic Ext" w:ascii="Typographic Ext" w:hAnsi="Typographic Ext"/>
                <w:sz w:val="20"/>
              </w:rPr>
              <w:sym w:font="Typographic Ext" w:char="f03a"/>
            </w:r>
            <w:r>
              <w:rPr>
                <w:sz w:val="20"/>
              </w:rPr>
              <w:t xml:space="preserve">  </w:t>
            </w:r>
            <w:r>
              <w:rPr>
                <w:sz w:val="20"/>
              </w:rPr>
              <w:t>Party A:</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rFonts w:eastAsia="Typographic Ext" w:cs="Typographic Ext" w:ascii="Typographic Ext" w:hAnsi="Typographic Ext"/>
                <w:sz w:val="20"/>
              </w:rPr>
              <w:sym w:font="Typographic Ext" w:char="f03a"/>
            </w:r>
            <w:r>
              <w:rPr>
                <w:sz w:val="20"/>
              </w:rPr>
              <w:t xml:space="preserve">  </w:t>
            </w:r>
            <w:r>
              <w:rPr>
                <w:sz w:val="20"/>
              </w:rPr>
              <w:t>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pPr>
            <w:r>
              <w:rPr>
                <w:rFonts w:eastAsia="Typographic Ext" w:cs="Typographic Ext" w:ascii="Typographic Ext" w:hAnsi="Typographic Ext"/>
                <w:sz w:val="20"/>
              </w:rPr>
              <w:sym w:font="Typographic Ext" w:char="f03a"/>
            </w:r>
            <w:r>
              <w:rPr>
                <w:sz w:val="20"/>
              </w:rPr>
              <w:t xml:space="preserve">  </w:t>
            </w:r>
            <w:r>
              <w:rPr>
                <w:sz w:val="20"/>
              </w:rPr>
              <w:t>Cross Default for Party B:</w:t>
            </w:r>
          </w:p>
        </w:tc>
        <w:tc>
          <w:tcPr>
            <w:tcW w:w="3060" w:type="dxa"/>
            <w:tcBorders/>
          </w:tcPr>
          <w:p>
            <w:pPr>
              <w:pStyle w:val="Normal"/>
              <w:tabs>
                <w:tab w:val="clear" w:pos="720"/>
                <w:tab w:val="right" w:pos="2844" w:leader="none"/>
              </w:tabs>
              <w:snapToGrid w:val="false"/>
              <w:spacing w:before="0" w:after="200"/>
              <w:rPr>
                <w:sz w:val="20"/>
              </w:rPr>
            </w:pPr>
            <w:r>
              <w:rPr>
                <w:sz w:val="20"/>
              </w:rPr>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rFonts w:eastAsia="Typographic Ext" w:cs="Typographic Ext" w:ascii="Typographic Ext" w:hAnsi="Typographic Ext"/>
                <w:sz w:val="20"/>
              </w:rPr>
              <w:sym w:font="Typographic Ext" w:char="f03a"/>
            </w:r>
            <w:r>
              <w:rPr>
                <w:sz w:val="20"/>
              </w:rPr>
              <w:t xml:space="preserve">  </w:t>
            </w:r>
            <w:r>
              <w:rPr>
                <w:sz w:val="20"/>
              </w:rPr>
              <w:t>Party B:</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3150" w:type="dxa"/>
            <w:tcBorders/>
          </w:tcPr>
          <w:p>
            <w:pPr>
              <w:pStyle w:val="Normal"/>
              <w:tabs>
                <w:tab w:val="clear" w:pos="720"/>
                <w:tab w:val="right" w:pos="2673" w:leader="none"/>
              </w:tabs>
              <w:spacing w:before="0" w:after="200"/>
              <w:rPr>
                <w:sz w:val="20"/>
              </w:rPr>
            </w:pPr>
            <w:r>
              <w:rPr>
                <w:rFonts w:eastAsia="Typographic Ext" w:cs="Typographic Ext" w:ascii="Typographic Ext" w:hAnsi="Typographic Ext"/>
                <w:sz w:val="20"/>
              </w:rPr>
              <w:sym w:font="Typographic Ext" w:char="f03a"/>
            </w:r>
            <w:r>
              <w:rPr>
                <w:sz w:val="20"/>
              </w:rPr>
              <w:t xml:space="preserve">  </w:t>
            </w:r>
            <w:r>
              <w:rPr>
                <w:sz w:val="20"/>
              </w:rPr>
              <w:t>Other Entity:</w:t>
            </w:r>
            <w:r>
              <w:rPr>
                <w:sz w:val="20"/>
                <w:u w:val="single"/>
              </w:rPr>
              <w:tab/>
            </w:r>
          </w:p>
        </w:tc>
        <w:tc>
          <w:tcPr>
            <w:tcW w:w="3060" w:type="dxa"/>
            <w:tcBorders/>
          </w:tcPr>
          <w:p>
            <w:pPr>
              <w:pStyle w:val="Normal"/>
              <w:tabs>
                <w:tab w:val="clear" w:pos="720"/>
                <w:tab w:val="right" w:pos="2844" w:leader="none"/>
              </w:tabs>
              <w:spacing w:before="0" w:after="200"/>
              <w:rPr>
                <w:sz w:val="20"/>
              </w:rPr>
            </w:pPr>
            <w:r>
              <w:rPr>
                <w:sz w:val="20"/>
              </w:rPr>
              <w:t>Cross Default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5.6</w:t>
            </w:r>
            <w:r>
              <w:rPr>
                <w:sz w:val="20"/>
              </w:rPr>
              <w:t xml:space="preserve">  Closeout Setoff</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pPr>
            <w:r>
              <w:rPr>
                <w:rFonts w:eastAsia="Typographic Ext" w:cs="Typographic Ext" w:ascii="Typographic Ext" w:hAnsi="Typographic Ext"/>
                <w:sz w:val="20"/>
              </w:rPr>
              <w:sym w:font="Typographic Ext" w:char="f03a"/>
            </w:r>
            <w:r>
              <w:rPr>
                <w:sz w:val="20"/>
              </w:rPr>
              <w:tab/>
              <w:t>Option A (Applicable if no other selection is made.)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rFonts w:eastAsia="Typographic Ext" w:cs="Typographic Ext" w:ascii="Typographic Ext" w:hAnsi="Typographic Ext"/>
                <w:sz w:val="20"/>
              </w:rPr>
              <w:sym w:font="Typographic Ext" w:char="f03a"/>
            </w:r>
            <w:r>
              <w:rPr>
                <w:sz w:val="20"/>
              </w:rPr>
              <w:tab/>
              <w:t>Option B - Affiliates shall have the meaning set forth in the Agreement unless otherwise specified as follows:</w:t>
            </w:r>
            <w:r>
              <w:rPr>
                <w:sz w:val="20"/>
                <w:u w:val="single"/>
              </w:rPr>
              <w:tab/>
            </w:r>
            <w:r>
              <w:rPr>
                <w:sz w:val="20"/>
              </w:rPr>
              <w:br/>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pPr>
            <w:r>
              <w:rPr>
                <w:rFonts w:eastAsia="Typographic Ext" w:cs="Typographic Ext" w:ascii="Typographic Ext" w:hAnsi="Typographic Ext"/>
                <w:sz w:val="20"/>
              </w:rPr>
              <w:sym w:font="Typographic Ext" w:char="f03a"/>
            </w:r>
            <w:r>
              <w:rPr>
                <w:sz w:val="20"/>
              </w:rPr>
              <w:tab/>
              <w:t>Option C (No Setoff)</w:t>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6228" w:type="dxa"/>
            <w:gridSpan w:val="2"/>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348" w:type="dxa"/>
            <w:tcBorders/>
          </w:tcPr>
          <w:p>
            <w:pPr>
              <w:pStyle w:val="Normal"/>
              <w:spacing w:before="0" w:after="120"/>
              <w:rPr>
                <w:sz w:val="20"/>
                <w:u w:val="single"/>
              </w:rPr>
            </w:pPr>
            <w:r>
              <w:rPr>
                <w:sz w:val="20"/>
              </w:rPr>
              <w:t>Credit and Collateral Requirements</w:t>
            </w:r>
          </w:p>
        </w:tc>
        <w:tc>
          <w:tcPr>
            <w:tcW w:w="6228" w:type="dxa"/>
            <w:gridSpan w:val="2"/>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sz w:val="20"/>
              </w:rPr>
            </w:pPr>
            <w:r>
              <w:rPr>
                <w:rFonts w:eastAsia="Typographic Ext" w:cs="Typographic Ext" w:ascii="Typographic Ext" w:hAnsi="Typographic Ext"/>
                <w:sz w:val="20"/>
              </w:rPr>
              <w:sym w:font="Typographic Ext" w:char="f03a"/>
            </w:r>
            <w:r>
              <w:rPr>
                <w:sz w:val="20"/>
              </w:rPr>
              <w:tab/>
              <w:t>Option A</w:t>
              <w:br/>
            </w:r>
            <w:r>
              <w:rPr>
                <w:rFonts w:eastAsia="Typographic Ext" w:cs="Typographic Ext" w:ascii="Typographic Ext" w:hAnsi="Typographic Ext"/>
                <w:sz w:val="20"/>
              </w:rPr>
              <w:sym w:font="Typographic Ext" w:char="f03a"/>
            </w:r>
            <w:r>
              <w:rPr>
                <w:sz w:val="20"/>
              </w:rPr>
              <w:tab/>
              <w:t xml:space="preserve">Option B   Specify: </w:t>
            </w:r>
            <w:r>
              <w:rPr>
                <w:sz w:val="20"/>
                <w:u w:val="single"/>
              </w:rPr>
              <w:tab/>
            </w:r>
            <w:r>
              <w:rPr>
                <w:sz w:val="20"/>
              </w:rPr>
              <w:br/>
            </w:r>
            <w:r>
              <w:rPr>
                <w:rFonts w:eastAsia="Typographic Ext" w:cs="Typographic Ext" w:ascii="Typographic Ext" w:hAnsi="Typographic Ext"/>
                <w:sz w:val="20"/>
              </w:rPr>
              <w:sym w:font="Typographic Ext" w:char="f03a"/>
            </w:r>
            <w:r>
              <w:rPr>
                <w:sz w:val="20"/>
              </w:rPr>
              <w:tab/>
              <w:t xml:space="preserve">Option C   Specify: </w:t>
            </w:r>
            <w:r>
              <w:rPr>
                <w:sz w:val="20"/>
                <w:u w:val="single"/>
              </w:rPr>
              <w:tab/>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rFonts w:eastAsia="Typographic Ext" w:cs="Typographic Ext" w:ascii="Typographic Ext" w:hAnsi="Typographic Ext"/>
                <w:sz w:val="20"/>
              </w:rPr>
              <w:sym w:font="Typographic Ext" w:char="f03a"/>
            </w:r>
            <w:r>
              <w:rPr>
                <w:sz w:val="20"/>
              </w:rPr>
              <w:tab/>
              <w:t>Not Applicable</w:t>
              <w:br/>
            </w:r>
            <w:r>
              <w:rPr>
                <w:rFonts w:eastAsia="Typographic Ext" w:cs="Typographic Ext" w:ascii="Typographic Ext" w:hAnsi="Typographic Ext"/>
                <w:sz w:val="20"/>
              </w:rPr>
              <w:sym w:font="Typographic Ext" w:char="f03a"/>
            </w:r>
            <w:r>
              <w:rPr>
                <w:sz w:val="20"/>
              </w:rPr>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gridSpan w:val="2"/>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1332" w:leader="none"/>
                <w:tab w:val="right" w:pos="4572" w:leader="none"/>
              </w:tabs>
              <w:spacing w:before="0" w:after="200"/>
              <w:ind w:start="972" w:end="0"/>
              <w:rPr/>
            </w:pPr>
            <w:r>
              <w:rPr>
                <w:rFonts w:eastAsia="Typographic Ext" w:cs="Typographic Ext" w:ascii="Typographic Ext" w:hAnsi="Typographic Ext"/>
                <w:sz w:val="20"/>
              </w:rPr>
              <w:sym w:font="Typographic Ext" w:char="f03a"/>
            </w:r>
            <w:r>
              <w:rPr>
                <w:sz w:val="20"/>
              </w:rPr>
              <w:tab/>
              <w:t>Not Applicable</w:t>
              <w:br/>
            </w:r>
            <w:r>
              <w:rPr>
                <w:rFonts w:eastAsia="Typographic Ext" w:cs="Typographic Ext" w:ascii="Typographic Ext" w:hAnsi="Typographic Ext"/>
                <w:sz w:val="20"/>
              </w:rPr>
              <w:sym w:font="Typographic Ext" w:char="f03a"/>
            </w:r>
            <w:r>
              <w:rPr>
                <w:sz w:val="20"/>
              </w:rPr>
              <w:tab/>
              <w:t>Applicable</w:t>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Party B Collateral Threshold: $ __________; provided, however, that Party B’s Collateral Threshold shall be zero if an Event of  Default or Potential Event of Default with respect to  Party B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B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B Rounding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702" w:leader="none"/>
              </w:tabs>
              <w:spacing w:before="0" w:after="200"/>
              <w:ind w:start="360" w:end="0"/>
              <w:rPr/>
            </w:pPr>
            <w:r>
              <w:rPr>
                <w:rFonts w:eastAsia="Typographic Ext" w:cs="Typographic Ext" w:ascii="Typographic Ext" w:hAnsi="Typographic Ext"/>
                <w:sz w:val="20"/>
              </w:rPr>
              <w:sym w:font="Typographic Ext" w:char="f03a"/>
            </w:r>
            <w:r>
              <w:rPr>
                <w:sz w:val="20"/>
              </w:rPr>
              <w:tab/>
              <w:t>Not Applicable</w:t>
              <w:br/>
            </w:r>
            <w:r>
              <w:rPr>
                <w:rFonts w:eastAsia="Typographic Ext" w:cs="Typographic Ext" w:ascii="Typographic Ext" w:hAnsi="Typographic Ext"/>
                <w:sz w:val="20"/>
              </w:rPr>
              <w:sym w:font="Typographic Ext" w:char="f03a"/>
            </w:r>
            <w:r>
              <w:rPr>
                <w:sz w:val="20"/>
              </w:rPr>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ind w:hanging="360" w:start="720" w:end="0"/>
              <w:rPr/>
            </w:pPr>
            <w:r>
              <w:rPr>
                <w:rFonts w:eastAsia="Typographic Ext" w:cs="Typographic Ext" w:ascii="Typographic Ext" w:hAnsi="Typographic Ext"/>
                <w:sz w:val="20"/>
              </w:rPr>
              <w:sym w:font="Typographic Ext" w:char="f03a"/>
            </w:r>
            <w:r>
              <w:rPr>
                <w:sz w:val="20"/>
              </w:rPr>
              <w:tab/>
              <w:t xml:space="preserve">It shall be a Downgrade Event for Party B if Party B’s Credit Rating falls below __________ from S&amp;P or  __________ from Moody’s or if  Party B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ind w:hanging="360" w:start="720" w:end="0"/>
              <w:rPr>
                <w:sz w:val="20"/>
              </w:rPr>
            </w:pPr>
            <w:r>
              <w:rPr>
                <w:rFonts w:eastAsia="Typographic Ext" w:cs="Typographic Ext" w:ascii="Typographic Ext" w:hAnsi="Typographic Ext"/>
                <w:sz w:val="20"/>
              </w:rPr>
              <w:sym w:font="Typographic Ext" w:char="f03a"/>
            </w:r>
            <w:r>
              <w:rPr>
                <w:sz w:val="20"/>
              </w:rPr>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B:</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cPr>
          <w:p>
            <w:pPr>
              <w:pStyle w:val="Normal"/>
              <w:snapToGrid w:val="false"/>
              <w:spacing w:before="0" w:after="200"/>
              <w:rPr>
                <w:rStyle w:val="ParaNum"/>
                <w:sz w:val="20"/>
                <w:u w:val="single"/>
              </w:rPr>
            </w:pPr>
            <w:r>
              <w:rPr/>
            </w:r>
          </w:p>
        </w:tc>
        <w:tc>
          <w:tcPr>
            <w:tcW w:w="6228" w:type="dxa"/>
            <w:tcBorders/>
          </w:tcPr>
          <w:p>
            <w:pPr>
              <w:pStyle w:val="Normal"/>
              <w:spacing w:before="0" w:after="200"/>
              <w:rPr/>
            </w:pPr>
            <w:r>
              <w:rPr>
                <w:sz w:val="20"/>
              </w:rPr>
              <w:t xml:space="preserve">8.2  </w:t>
            </w:r>
            <w:r>
              <w:rPr>
                <w:sz w:val="20"/>
                <w:u w:val="single"/>
              </w:rPr>
              <w:t>Party B Credit Protection</w:t>
            </w:r>
            <w:r>
              <w:rPr>
                <w:sz w:val="20"/>
              </w:rPr>
              <w:t>:</w:t>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(a)</w:t>
            </w:r>
            <w:r>
              <w:rPr>
                <w:sz w:val="20"/>
              </w:rPr>
              <w:t xml:space="preserve">  Financial Information:</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sz w:val="20"/>
              </w:rPr>
            </w:pPr>
            <w:r>
              <w:rPr>
                <w:rFonts w:eastAsia="Typographic Ext" w:cs="Typographic Ext" w:ascii="Typographic Ext" w:hAnsi="Typographic Ext"/>
                <w:sz w:val="20"/>
              </w:rPr>
              <w:sym w:font="Typographic Ext" w:char="f03a"/>
            </w:r>
            <w:r>
              <w:rPr>
                <w:sz w:val="20"/>
              </w:rPr>
              <w:tab/>
              <w:t>Option A</w:t>
              <w:br/>
            </w:r>
            <w:r>
              <w:rPr>
                <w:rFonts w:eastAsia="Typographic Ext" w:cs="Typographic Ext" w:ascii="Typographic Ext" w:hAnsi="Typographic Ext"/>
                <w:sz w:val="20"/>
              </w:rPr>
              <w:sym w:font="Typographic Ext" w:char="f03a"/>
            </w:r>
            <w:r>
              <w:rPr>
                <w:sz w:val="20"/>
              </w:rPr>
              <w:tab/>
              <w:t xml:space="preserve">Option B   Specify: </w:t>
            </w:r>
            <w:r>
              <w:rPr>
                <w:sz w:val="20"/>
                <w:u w:val="single"/>
              </w:rPr>
              <w:tab/>
            </w:r>
            <w:r>
              <w:rPr>
                <w:sz w:val="20"/>
              </w:rPr>
              <w:br/>
            </w:r>
            <w:r>
              <w:rPr>
                <w:rFonts w:eastAsia="Typographic Ext" w:cs="Typographic Ext" w:ascii="Typographic Ext" w:hAnsi="Typographic Ext"/>
                <w:sz w:val="20"/>
              </w:rPr>
              <w:sym w:font="Typographic Ext" w:char="f03a"/>
            </w:r>
            <w:r>
              <w:rPr>
                <w:sz w:val="20"/>
              </w:rPr>
              <w:tab/>
              <w:t xml:space="preserve">Option C   Specify: </w:t>
            </w:r>
            <w:r>
              <w:rPr>
                <w:sz w:val="20"/>
                <w:u w:val="single"/>
              </w:rPr>
              <w:tab/>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(b)</w:t>
            </w:r>
            <w:r>
              <w:rPr>
                <w:sz w:val="20"/>
              </w:rPr>
              <w:t xml:space="preserve">  Credit Assurances:</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pPr>
            <w:r>
              <w:rPr>
                <w:rFonts w:eastAsia="Typographic Ext" w:cs="Typographic Ext" w:ascii="Typographic Ext" w:hAnsi="Typographic Ext"/>
                <w:sz w:val="20"/>
              </w:rPr>
              <w:sym w:font="Typographic Ext" w:char="f03a"/>
            </w:r>
            <w:r>
              <w:rPr>
                <w:sz w:val="20"/>
              </w:rPr>
              <w:tab/>
              <w:t>Not Applicable</w:t>
              <w:br/>
            </w:r>
            <w:r>
              <w:rPr>
                <w:rFonts w:eastAsia="Typographic Ext" w:cs="Typographic Ext" w:ascii="Typographic Ext" w:hAnsi="Typographic Ext"/>
                <w:sz w:val="20"/>
              </w:rPr>
              <w:sym w:font="Typographic Ext" w:char="f03a"/>
            </w:r>
            <w:r>
              <w:rPr>
                <w:sz w:val="20"/>
              </w:rPr>
              <w:tab/>
              <w:t>Applicable</w:t>
            </w:r>
          </w:p>
        </w:tc>
      </w:tr>
      <w:tr>
        <w:trPr/>
        <w:tc>
          <w:tcPr>
            <w:tcW w:w="3348" w:type="dxa"/>
            <w:tcBorders/>
          </w:tcPr>
          <w:p>
            <w:pPr>
              <w:pStyle w:val="Normal"/>
              <w:snapToGrid w:val="false"/>
              <w:spacing w:before="0" w:after="120"/>
              <w:rPr>
                <w:sz w:val="20"/>
                <w:u w:val="single"/>
              </w:rPr>
            </w:pPr>
            <w:r>
              <w:rPr>
                <w:sz w:val="20"/>
                <w:u w:val="single"/>
              </w:rPr>
            </w:r>
          </w:p>
        </w:tc>
        <w:tc>
          <w:tcPr>
            <w:tcW w:w="6228" w:type="dxa"/>
            <w:tcBorders/>
          </w:tcPr>
          <w:p>
            <w:pPr>
              <w:pStyle w:val="Normal"/>
              <w:spacing w:before="0" w:after="120"/>
              <w:ind w:hanging="360" w:start="720" w:end="0"/>
              <w:rPr/>
            </w:pPr>
            <w:r>
              <w:rPr>
                <w:rStyle w:val="ParaNum"/>
                <w:sz w:val="20"/>
              </w:rPr>
              <w:t>(c)</w:t>
            </w:r>
            <w:r>
              <w:rPr>
                <w:sz w:val="20"/>
              </w:rPr>
              <w:t xml:space="preserve">  Collateral Threshold:</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left" w:pos="1332" w:leader="none"/>
                <w:tab w:val="right" w:pos="4572" w:leader="none"/>
              </w:tabs>
              <w:spacing w:before="0" w:after="200"/>
              <w:ind w:start="972" w:end="0"/>
              <w:rPr/>
            </w:pPr>
            <w:r>
              <w:rPr>
                <w:rFonts w:eastAsia="Typographic Ext" w:cs="Typographic Ext" w:ascii="Typographic Ext" w:hAnsi="Typographic Ext"/>
                <w:sz w:val="20"/>
              </w:rPr>
              <w:sym w:font="Typographic Ext" w:char="f03a"/>
            </w:r>
            <w:r>
              <w:rPr>
                <w:sz w:val="20"/>
              </w:rPr>
              <w:tab/>
              <w:t>Not Applicable</w:t>
              <w:br/>
            </w:r>
            <w:r>
              <w:rPr>
                <w:rFonts w:eastAsia="Typographic Ext" w:cs="Typographic Ext" w:ascii="Typographic Ext" w:hAnsi="Typographic Ext"/>
                <w:sz w:val="20"/>
              </w:rPr>
              <w:sym w:font="Typographic Ext" w:char="f03a"/>
            </w:r>
            <w:r>
              <w:rPr>
                <w:sz w:val="20"/>
              </w:rPr>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spacing w:before="0" w:after="200"/>
              <w:rPr>
                <w:sz w:val="20"/>
              </w:rPr>
            </w:pPr>
            <w:r>
              <w:rPr>
                <w:sz w:val="20"/>
              </w:rPr>
              <w:t>Party A Collateral Threshold: $ __________; provided, however, that Party A’s Collateral Threshold shall be zero if an Event of  Default or Potential Event of Default with respect to Party A has occurred and is continuing.</w:t>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A Independent Amount: $</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tcBorders/>
          </w:tcPr>
          <w:p>
            <w:pPr>
              <w:pStyle w:val="Normal"/>
              <w:tabs>
                <w:tab w:val="clear" w:pos="720"/>
                <w:tab w:val="right" w:pos="3852" w:leader="none"/>
              </w:tabs>
              <w:spacing w:before="0" w:after="200"/>
              <w:rPr>
                <w:sz w:val="20"/>
              </w:rPr>
            </w:pPr>
            <w:r>
              <w:rPr>
                <w:sz w:val="20"/>
              </w:rPr>
              <w:t>Party A Rounding Amount: $</w:t>
            </w:r>
            <w:r>
              <w:rPr>
                <w:sz w:val="20"/>
                <w:u w:val="single"/>
              </w:rPr>
              <w:tab/>
            </w:r>
          </w:p>
        </w:tc>
      </w:tr>
    </w:tbl>
    <w:p>
      <w:pPr>
        <w:pStyle w:val="Normal"/>
        <w:rPr/>
      </w:pPr>
      <w:r>
        <w:br w:type="page"/>
      </w:r>
      <w:r>
        <w:rPr/>
      </w:r>
    </w:p>
    <w:tbl>
      <w:tblPr>
        <w:tblW w:w="9576" w:type="dxa"/>
        <w:jc w:val="start"/>
        <w:tblInd w:w="0" w:type="dxa"/>
        <w:tblLayout w:type="fixed"/>
        <w:tblCellMar>
          <w:top w:w="0" w:type="dxa"/>
          <w:start w:w="108" w:type="dxa"/>
          <w:bottom w:w="0" w:type="dxa"/>
          <w:end w:w="108" w:type="dxa"/>
        </w:tblCellMar>
      </w:tblPr>
      <w:tblGrid>
        <w:gridCol w:w="3348"/>
        <w:gridCol w:w="3114"/>
        <w:gridCol w:w="3114"/>
      </w:tblGrid>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pPr>
            <w:r>
              <w:rPr>
                <w:rStyle w:val="ParaNum"/>
                <w:sz w:val="20"/>
              </w:rPr>
              <w:t>(d)</w:t>
            </w:r>
            <w:r>
              <w:rPr>
                <w:sz w:val="20"/>
              </w:rPr>
              <w:t xml:space="preserve">  Downgrade Event:</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left" w:pos="702" w:leader="none"/>
              </w:tabs>
              <w:spacing w:before="0" w:after="200"/>
              <w:ind w:start="360" w:end="0"/>
              <w:rPr/>
            </w:pPr>
            <w:r>
              <w:rPr>
                <w:rFonts w:eastAsia="Typographic Ext" w:cs="Typographic Ext" w:ascii="Typographic Ext" w:hAnsi="Typographic Ext"/>
                <w:sz w:val="20"/>
              </w:rPr>
              <w:sym w:font="Typographic Ext" w:char="f03a"/>
            </w:r>
            <w:r>
              <w:rPr>
                <w:sz w:val="20"/>
              </w:rPr>
              <w:tab/>
              <w:t>Not Applicable</w:t>
              <w:br/>
            </w:r>
            <w:r>
              <w:rPr>
                <w:rFonts w:eastAsia="Typographic Ext" w:cs="Typographic Ext" w:ascii="Typographic Ext" w:hAnsi="Typographic Ext"/>
                <w:sz w:val="20"/>
              </w:rPr>
              <w:sym w:font="Typographic Ext" w:char="f03a"/>
            </w:r>
            <w:r>
              <w:rPr>
                <w:sz w:val="20"/>
              </w:rPr>
              <w:tab/>
              <w:t>Applicable</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rPr>
                <w:sz w:val="20"/>
              </w:rPr>
            </w:pPr>
            <w:r>
              <w:rPr>
                <w:sz w:val="20"/>
              </w:rPr>
              <w:t>If applicable, complete the following:</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spacing w:before="0" w:after="200"/>
              <w:ind w:hanging="360" w:start="720" w:end="0"/>
              <w:rPr/>
            </w:pPr>
            <w:r>
              <w:rPr>
                <w:rFonts w:eastAsia="Typographic Ext" w:cs="Typographic Ext" w:ascii="Typographic Ext" w:hAnsi="Typographic Ext"/>
                <w:sz w:val="20"/>
              </w:rPr>
              <w:sym w:font="Typographic Ext" w:char="f03a"/>
            </w:r>
            <w:r>
              <w:rPr>
                <w:sz w:val="20"/>
              </w:rPr>
              <w:tab/>
              <w:t xml:space="preserve">It shall be a Downgrade Event for Party A if Party A’s Credit Rating falls below __________ from S&amp;P or  __________ from Moody’s or if  Party A is not rated by either S&amp;P or Moody’s </w:t>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hanging="360" w:start="720" w:end="0"/>
              <w:rPr>
                <w:sz w:val="20"/>
              </w:rPr>
            </w:pPr>
            <w:r>
              <w:rPr>
                <w:rFonts w:eastAsia="Typographic Ext" w:cs="Typographic Ext" w:ascii="Typographic Ext" w:hAnsi="Typographic Ext"/>
                <w:sz w:val="20"/>
              </w:rPr>
              <w:sym w:font="Typographic Ext" w:char="f03a"/>
            </w:r>
            <w:r>
              <w:rPr>
                <w:sz w:val="20"/>
              </w:rPr>
              <w:tab/>
              <w:t xml:space="preserve">Other: </w:t>
              <w:br/>
              <w:t>Specify:</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rPr>
                <w:sz w:val="20"/>
              </w:rPr>
            </w:pPr>
            <w:r>
              <w:rPr>
                <w:rStyle w:val="ParaNum"/>
                <w:sz w:val="20"/>
              </w:rPr>
              <w:t>(e)</w:t>
            </w:r>
            <w:r>
              <w:rPr>
                <w:sz w:val="20"/>
              </w:rPr>
              <w:t xml:space="preserve">  Guarantor for Party A:</w:t>
            </w:r>
            <w:r>
              <w:rPr>
                <w:sz w:val="20"/>
                <w:u w:val="single"/>
              </w:rPr>
              <w:tab/>
            </w:r>
          </w:p>
        </w:tc>
      </w:tr>
      <w:tr>
        <w:trPr/>
        <w:tc>
          <w:tcPr>
            <w:tcW w:w="3348" w:type="dxa"/>
            <w:tcBorders/>
          </w:tcPr>
          <w:p>
            <w:pPr>
              <w:pStyle w:val="Normal"/>
              <w:snapToGrid w:val="false"/>
              <w:spacing w:before="0" w:after="200"/>
              <w:rPr>
                <w:sz w:val="20"/>
                <w:u w:val="single"/>
              </w:rPr>
            </w:pPr>
            <w:r>
              <w:rPr>
                <w:sz w:val="20"/>
                <w:u w:val="single"/>
              </w:rPr>
            </w:r>
          </w:p>
        </w:tc>
        <w:tc>
          <w:tcPr>
            <w:tcW w:w="6228" w:type="dxa"/>
            <w:gridSpan w:val="2"/>
            <w:tcBorders/>
          </w:tcPr>
          <w:p>
            <w:pPr>
              <w:pStyle w:val="Normal"/>
              <w:tabs>
                <w:tab w:val="clear" w:pos="720"/>
                <w:tab w:val="right" w:pos="6012" w:leader="none"/>
              </w:tabs>
              <w:spacing w:before="0" w:after="200"/>
              <w:ind w:start="702" w:end="0"/>
              <w:rPr>
                <w:rStyle w:val="ParaNum"/>
                <w:sz w:val="20"/>
              </w:rPr>
            </w:pPr>
            <w:r>
              <w:rPr>
                <w:sz w:val="20"/>
              </w:rPr>
              <w:t>Guarantee Amount:</w:t>
            </w:r>
            <w:r>
              <w:rPr>
                <w:sz w:val="20"/>
                <w:u w:val="single"/>
              </w:rPr>
              <w:tab/>
            </w:r>
          </w:p>
        </w:tc>
      </w:tr>
      <w:tr>
        <w:trPr/>
        <w:tc>
          <w:tcPr>
            <w:tcW w:w="334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6228"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348" w:type="dxa"/>
            <w:tcBorders/>
          </w:tcPr>
          <w:p>
            <w:pPr>
              <w:pStyle w:val="Normal"/>
              <w:spacing w:before="0" w:after="200"/>
              <w:rPr>
                <w:sz w:val="20"/>
              </w:rPr>
            </w:pPr>
            <w:r>
              <w:rPr>
                <w:sz w:val="20"/>
              </w:rPr>
              <w:t>Confidentiality</w:t>
            </w:r>
          </w:p>
        </w:tc>
        <w:tc>
          <w:tcPr>
            <w:tcW w:w="3114" w:type="dxa"/>
            <w:tcBorders/>
          </w:tcPr>
          <w:p>
            <w:pPr>
              <w:pStyle w:val="Normal"/>
              <w:tabs>
                <w:tab w:val="clear" w:pos="720"/>
                <w:tab w:val="left" w:pos="252" w:leader="none"/>
              </w:tabs>
              <w:spacing w:before="0" w:after="200"/>
              <w:rPr/>
            </w:pPr>
            <w:r>
              <w:rPr>
                <w:rFonts w:eastAsia="Typographic Ext" w:cs="Typographic Ext" w:ascii="Typographic Ext" w:hAnsi="Typographic Ext"/>
                <w:sz w:val="20"/>
              </w:rPr>
              <w:sym w:font="Typographic Ext" w:char="f03a"/>
            </w:r>
            <w:r>
              <w:rPr>
                <w:sz w:val="20"/>
              </w:rPr>
              <w:t xml:space="preserve">  </w:t>
            </w:r>
            <w:r>
              <w:rPr>
                <w:sz w:val="20"/>
              </w:rPr>
              <w:t>Confidentiality Applicable</w:t>
            </w:r>
          </w:p>
        </w:tc>
        <w:tc>
          <w:tcPr>
            <w:tcW w:w="3114" w:type="dxa"/>
            <w:tcBorders/>
          </w:tcPr>
          <w:p>
            <w:pPr>
              <w:pStyle w:val="Normal"/>
              <w:spacing w:before="0" w:after="200"/>
              <w:rPr/>
            </w:pPr>
            <w:r>
              <w:rPr>
                <w:rFonts w:eastAsia="Typographic Ext" w:cs="Typographic Ext" w:ascii="Typographic Ext" w:hAnsi="Typographic Ext"/>
                <w:sz w:val="20"/>
              </w:rPr>
              <w:sym w:font="Typographic Ext" w:char="f03a"/>
            </w:r>
            <w:r>
              <w:rPr>
                <w:sz w:val="20"/>
              </w:rPr>
              <w:t xml:space="preserve">  </w:t>
            </w:r>
            <w:r>
              <w:rPr>
                <w:sz w:val="20"/>
              </w:rPr>
              <w:t>If not checked, inapplicable.</w:t>
            </w:r>
          </w:p>
        </w:tc>
      </w:tr>
      <w:tr>
        <w:trPr/>
        <w:tc>
          <w:tcPr>
            <w:tcW w:w="3348" w:type="dxa"/>
            <w:tcBorders/>
          </w:tcPr>
          <w:p>
            <w:pPr>
              <w:pStyle w:val="Normal"/>
              <w:rPr>
                <w:sz w:val="20"/>
              </w:rPr>
            </w:pPr>
            <w:r>
              <w:rPr>
                <w:sz w:val="20"/>
              </w:rPr>
              <w:t>Schedule M</w:t>
            </w:r>
          </w:p>
        </w:tc>
        <w:tc>
          <w:tcPr>
            <w:tcW w:w="6228" w:type="dxa"/>
            <w:gridSpan w:val="2"/>
            <w:tcBorders/>
          </w:tcPr>
          <w:p>
            <w:pPr>
              <w:pStyle w:val="Normal"/>
              <w:rPr/>
            </w:pPr>
            <w:r>
              <w:rPr>
                <w:rFonts w:eastAsia="Typographic Ext" w:cs="Typographic Ext" w:ascii="Typographic Ext" w:hAnsi="Typographic Ext"/>
                <w:sz w:val="20"/>
              </w:rPr>
              <w:sym w:font="Typographic Ext" w:char="f03a"/>
            </w:r>
            <w:r>
              <w:rPr>
                <w:sz w:val="20"/>
              </w:rPr>
              <w:t xml:space="preserve">  </w:t>
            </w:r>
            <w:r>
              <w:rPr>
                <w:sz w:val="20"/>
              </w:rPr>
              <w:t>Party A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pPr>
            <w:r>
              <w:rPr>
                <w:rFonts w:eastAsia="Typographic Ext" w:cs="Typographic Ext" w:ascii="Typographic Ext" w:hAnsi="Typographic Ext"/>
                <w:sz w:val="20"/>
              </w:rPr>
              <w:sym w:font="Typographic Ext" w:char="f03a"/>
            </w:r>
            <w:r>
              <w:rPr>
                <w:sz w:val="20"/>
              </w:rPr>
              <w:t xml:space="preserve">  </w:t>
            </w:r>
            <w:r>
              <w:rPr>
                <w:sz w:val="20"/>
              </w:rPr>
              <w:t>Party B is a Governmental Entity or Public Power System</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pPr>
            <w:r>
              <w:rPr>
                <w:rFonts w:eastAsia="Typographic Ext" w:cs="Typographic Ext" w:ascii="Typographic Ext" w:hAnsi="Typographic Ext"/>
                <w:sz w:val="20"/>
              </w:rPr>
              <w:sym w:font="Typographic Ext" w:char="f03a"/>
            </w:r>
            <w:r>
              <w:rPr>
                <w:sz w:val="20"/>
              </w:rPr>
              <w:t xml:space="preserve">  </w:t>
            </w:r>
            <w:r>
              <w:rPr>
                <w:sz w:val="20"/>
              </w:rPr>
              <w:t>Add Section 3.6.  If not checked, inapplicable</w:t>
            </w:r>
          </w:p>
        </w:tc>
      </w:tr>
      <w:tr>
        <w:trPr/>
        <w:tc>
          <w:tcPr>
            <w:tcW w:w="3348" w:type="dxa"/>
            <w:tcBorders/>
          </w:tcPr>
          <w:p>
            <w:pPr>
              <w:pStyle w:val="Normal"/>
              <w:snapToGrid w:val="false"/>
              <w:rPr>
                <w:sz w:val="20"/>
              </w:rPr>
            </w:pPr>
            <w:r>
              <w:rPr>
                <w:sz w:val="20"/>
              </w:rPr>
            </w:r>
          </w:p>
        </w:tc>
        <w:tc>
          <w:tcPr>
            <w:tcW w:w="6228" w:type="dxa"/>
            <w:gridSpan w:val="2"/>
            <w:tcBorders/>
          </w:tcPr>
          <w:p>
            <w:pPr>
              <w:pStyle w:val="Normal"/>
              <w:rPr/>
            </w:pPr>
            <w:r>
              <w:rPr>
                <w:rFonts w:eastAsia="Typographic Ext" w:cs="Typographic Ext" w:ascii="Typographic Ext" w:hAnsi="Typographic Ext"/>
                <w:sz w:val="20"/>
              </w:rPr>
              <w:sym w:font="Typographic Ext" w:char="f03a"/>
            </w:r>
            <w:r>
              <w:rPr>
                <w:sz w:val="20"/>
              </w:rPr>
              <w:t xml:space="preserve">  </w:t>
            </w:r>
            <w:r>
              <w:rPr>
                <w:sz w:val="20"/>
              </w:rPr>
              <w:t>Add Section 8.6.  If not checked, inapplicable</w:t>
            </w:r>
          </w:p>
        </w:tc>
      </w:tr>
      <w:tr>
        <w:trPr/>
        <w:tc>
          <w:tcPr>
            <w:tcW w:w="3348" w:type="dxa"/>
            <w:tcBorders/>
          </w:tcPr>
          <w:p>
            <w:pPr>
              <w:pStyle w:val="Normal"/>
              <w:snapToGrid w:val="false"/>
              <w:spacing w:before="0" w:after="200"/>
              <w:rPr>
                <w:sz w:val="20"/>
              </w:rPr>
            </w:pPr>
            <w:r>
              <w:rPr>
                <w:sz w:val="20"/>
              </w:rPr>
            </w:r>
          </w:p>
        </w:tc>
        <w:tc>
          <w:tcPr>
            <w:tcW w:w="6228" w:type="dxa"/>
            <w:gridSpan w:val="2"/>
            <w:tcBorders/>
          </w:tcPr>
          <w:p>
            <w:pPr>
              <w:pStyle w:val="Normal"/>
              <w:snapToGrid w:val="false"/>
              <w:spacing w:before="0" w:after="200"/>
              <w:rPr>
                <w:sz w:val="20"/>
              </w:rPr>
            </w:pPr>
            <w:r>
              <w:rPr>
                <w:sz w:val="20"/>
              </w:rPr>
            </w:r>
          </w:p>
        </w:tc>
      </w:tr>
      <w:tr>
        <w:trPr/>
        <w:tc>
          <w:tcPr>
            <w:tcW w:w="3348" w:type="dxa"/>
            <w:tcBorders/>
          </w:tcPr>
          <w:p>
            <w:pPr>
              <w:pStyle w:val="Normal"/>
              <w:tabs>
                <w:tab w:val="clear" w:pos="720"/>
                <w:tab w:val="right" w:pos="3060" w:leader="none"/>
              </w:tabs>
              <w:spacing w:before="0" w:after="200"/>
              <w:rPr>
                <w:sz w:val="20"/>
              </w:rPr>
            </w:pPr>
            <w:r>
              <w:rPr>
                <w:sz w:val="20"/>
              </w:rPr>
              <w:t>Other Changes:</w:t>
            </w:r>
            <w:r>
              <w:rPr>
                <w:sz w:val="20"/>
                <w:u w:val="single"/>
              </w:rPr>
              <w:tab/>
            </w:r>
          </w:p>
        </w:tc>
        <w:tc>
          <w:tcPr>
            <w:tcW w:w="6228" w:type="dxa"/>
            <w:gridSpan w:val="2"/>
            <w:tcBorders/>
          </w:tcPr>
          <w:p>
            <w:pPr>
              <w:pStyle w:val="Normal"/>
              <w:tabs>
                <w:tab w:val="clear" w:pos="720"/>
                <w:tab w:val="right" w:pos="6012" w:leader="none"/>
              </w:tabs>
              <w:spacing w:before="0" w:after="200"/>
              <w:rPr>
                <w:sz w:val="20"/>
              </w:rPr>
            </w:pPr>
            <w:r>
              <w:rPr>
                <w:sz w:val="20"/>
              </w:rPr>
              <w:t xml:space="preserve">Specify, if any: </w:t>
            </w:r>
            <w:r>
              <w:rPr>
                <w:sz w:val="20"/>
                <w:u w:val="single"/>
              </w:rPr>
              <w:tab/>
            </w:r>
          </w:p>
        </w:tc>
      </w:tr>
    </w:tbl>
    <w:p>
      <w:pPr>
        <w:pStyle w:val="Normal"/>
        <w:rPr>
          <w:sz w:val="20"/>
        </w:rPr>
      </w:pPr>
      <w:r>
        <w:rPr>
          <w:sz w:val="20"/>
        </w:rPr>
      </w:r>
    </w:p>
    <w:p>
      <w:pPr>
        <w:pStyle w:val="Normal"/>
        <w:rPr>
          <w:sz w:val="20"/>
        </w:rPr>
      </w:pPr>
      <w:r>
        <w:rPr>
          <w:sz w:val="20"/>
        </w:rPr>
      </w:r>
      <w:r>
        <w:br w:type="page"/>
      </w:r>
    </w:p>
    <w:p>
      <w:pPr>
        <w:pStyle w:val="Normal"/>
        <w:spacing w:before="0" w:after="240"/>
        <w:rPr>
          <w:sz w:val="20"/>
        </w:rPr>
      </w:pPr>
      <w:r>
        <w:rPr>
          <w:sz w:val="20"/>
        </w:rPr>
        <w:t>IN WITNESS WHEREOF, the Parties have caused this Master Agreement to be duly executed as of the date first above written.</w:t>
      </w:r>
    </w:p>
    <w:p>
      <w:pPr>
        <w:pStyle w:val="Signature-dbl"/>
        <w:rPr>
          <w:sz w:val="20"/>
        </w:rPr>
      </w:pPr>
      <w:r>
        <w:rPr>
          <w:sz w:val="20"/>
        </w:rPr>
        <w:t>Party A Name</w:t>
        <w:tab/>
        <w:tab/>
        <w:t>Party B Name</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Normal"/>
        <w:rPr>
          <w:sz w:val="20"/>
        </w:rPr>
      </w:pPr>
      <w:r>
        <w:rPr>
          <w:sz w:val="20"/>
        </w:rPr>
      </w:r>
    </w:p>
    <w:p>
      <w:pPr>
        <w:pStyle w:val="Normal"/>
        <w:rPr>
          <w:sz w:val="20"/>
        </w:rPr>
      </w:pPr>
      <w:r>
        <w:rPr>
          <w:sz w:val="20"/>
        </w:rPr>
      </w:r>
    </w:p>
    <w:p>
      <w:pPr>
        <w:pStyle w:val="Normal"/>
        <w:rPr/>
      </w:pPr>
      <w:r>
        <w:rPr/>
      </w:r>
    </w:p>
    <w:p>
      <w:pPr>
        <w:pStyle w:val="BlockTextBold"/>
        <w:rPr/>
      </w:pPr>
      <w:r>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2" w:name="__RefHeading___Toc476669031"/>
      <w:bookmarkEnd w:id="2"/>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3" w:name="__RefHeading___Toc476669032"/>
      <w:bookmarkEnd w:id="3"/>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Bankrupt” 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Heading2"/>
        <w:ind w:hanging="0" w:start="0"/>
        <w:rPr/>
      </w:pPr>
      <w:r>
        <w:rPr/>
        <w:t>“</w:t>
      </w:r>
      <w:r>
        <w:rPr/>
        <w:t>Business Day” means any day except a Saturday, Sunday, or a Federal Reserve Bank holiday A 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$U.S.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or any other rating agency agreed by the Parties as set forth in the Cover Sheet.</w:t>
      </w:r>
    </w:p>
    <w:p>
      <w:pPr>
        <w:pStyle w:val="Heading2"/>
        <w:ind w:hanging="0" w:start="0"/>
        <w:rPr/>
      </w:pPr>
      <w:r>
        <w:rPr/>
        <w:t>“</w:t>
      </w:r>
      <w:r>
        <w:rPr/>
        <w:t>Cross Default Amount” means the cross default amount, if any, set forth in the Cover Sheet for a Party.</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FERC” means the Federal Energy Regulatory Commission or any successor government agency.</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 xml:space="preserve">Interest Rate” means, for any date, the lesser of (a) the per annum rate of interest equal to the prime lending rate as may from time to time be published in </w:t>
      </w:r>
      <w:r>
        <w:rPr>
          <w:i/>
        </w:rPr>
        <w:t>The Wall Street Journal</w:t>
      </w:r>
      <w:r>
        <w:rPr/>
        <w:t xml:space="preserve"> under “Money Rates” on such day (or if not published on such day on the most recent preceding day on which published), plus two percent (2%) and (b) the maximum rate permitted by applicable law. </w:t>
      </w:r>
    </w:p>
    <w:p>
      <w:pPr>
        <w:pStyle w:val="Heading2"/>
        <w:ind w:hanging="0" w:start="0"/>
        <w:rPr/>
      </w:pPr>
      <w:r>
        <w:rPr/>
        <w:t>“</w:t>
      </w:r>
      <w:r>
        <w:rPr/>
        <w:t>Letter(s) of Credit” means one or more irrevocable, transferable standby letters of credit issued by a U.S. commercial bank or a foreign bank with a U.S. branch with such bank having a credit rating of at least A- from S&amp;P or A3 from Moody’s, in a form acceptable to the Party in whose favor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NERC Business Day” means any day except a Saturday, Sunday or a holiday as defined by the North American Electric Reliability Council or any successor organization thereto.  A NERC Business Day shall open at 8:00 a.m. and close at 5:00 p.m.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Party A Tariff” means the tariff, if any, specified in the Cover Sheet for Party A.</w:t>
      </w:r>
    </w:p>
    <w:p>
      <w:pPr>
        <w:pStyle w:val="Heading2"/>
        <w:ind w:hanging="0" w:start="0"/>
        <w:rPr/>
      </w:pPr>
      <w:r>
        <w:rPr/>
        <w:t>“</w:t>
      </w:r>
      <w:r>
        <w:rPr/>
        <w:t>Party B Tariff” means the tariff, if any, specified in the Cover Sheet for Party B.</w:t>
      </w:r>
    </w:p>
    <w:p>
      <w:pPr>
        <w:pStyle w:val="Heading2"/>
        <w:ind w:hanging="0" w:start="0"/>
        <w:rPr/>
      </w:pPr>
      <w:r>
        <w:rPr/>
        <w:t>“</w:t>
      </w:r>
      <w:r>
        <w:rPr/>
        <w:t xml:space="preserve">Performance Assurance” means collateral in the form of either cash,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charges,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McGraw-Hill,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charges,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Settlement Amount” means, with respect to a Transaction and the Non-Defaulting Party, the Losses or Gains, and Costs, expressed in U.S.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4" w:name="__RefHeading___Toc476669033"/>
      <w:bookmarkEnd w:id="4"/>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5" w:name="__RefHeading___Toc476669034"/>
      <w:bookmarkEnd w:id="5"/>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6" w:name="__RefHeading___Toc476669035"/>
      <w:bookmarkEnd w:id="6"/>
      <w:r>
        <w:rPr/>
        <w:t>.  Unless otherwise specifically agreed, each Transaction between the Parties shall be governed by this Master Agreement.  This Master Agreement (including all exhibits, schedules and any written supplements hereto), , the Party A Tariff, if any, and the Party B Tariff, if any,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7" w:name="__RefHeading___Toc476669036"/>
      <w:bookmarkEnd w:id="7"/>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8" w:name="__RefHeading___Toc476669037"/>
      <w:bookmarkEnd w:id="8"/>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9" w:name="__RefHeading___Toc476669038"/>
      <w:bookmarkEnd w:id="9"/>
      <w:r>
        <w:rPr/>
        <w:t xml:space="preserve">.  Unless a Party expressly objects to a Recording (defined below) at the beginning of a telephone conversation, each Party (i)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10" w:name="__RefHeading___Toc476669039"/>
      <w:bookmarkEnd w:id="10"/>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1" w:name="__RefHeading___Toc476669040"/>
      <w:bookmarkEnd w:id="11"/>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Buyer shall be responsible for any costs or charges imposed on or associated with the Product or its receipt at and from the Delivery Point.  </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2" w:name="__RefHeading___Toc476669041"/>
      <w:bookmarkEnd w:id="12"/>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3" w:name="__RefHeading___Toc476669042"/>
      <w:bookmarkEnd w:id="13"/>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4" w:name="__RefHeading___Toc476669043"/>
      <w:bookmarkEnd w:id="14"/>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5" w:name="__RefHeading___Toc476669044"/>
      <w:bookmarkEnd w:id="15"/>
      <w:r>
        <w:rPr/>
        <w:t>.  If Seller fails to schedule and/or deliver all or part of the Product pursuant to a Transaction, and such failure is not excused under the terms of the Product or by Buyer’s failure to perform, then Seller shall pay Buyer,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6" w:name="__RefHeading___Toc476669045"/>
      <w:bookmarkEnd w:id="16"/>
      <w:r>
        <w:rPr/>
        <w:t>.  If Buyer fails to schedule and/or receive all or part of the Product pursuant to a Transaction and such failure is not excused under the terms of the Product or by Seller’s failure to perform, then Buyer shall pay Seller,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7" w:name="__RefHeading___Toc476669046"/>
      <w:bookmarkEnd w:id="17"/>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8" w:name="__RefHeading___Toc476669047"/>
      <w:bookmarkEnd w:id="18"/>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guaranty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guaranty to be in full force and effect for purposes of this Agreement (other than in accordance with its terms) prior to the satisfaction of all obligations of such Party under each Transaction to which such guaranty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guaranty.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9" w:name="__RefHeading___Toc476669048"/>
      <w:bookmarkEnd w:id="19"/>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20" w:name="__RefHeading___Toc476669049"/>
      <w:bookmarkEnd w:id="20"/>
      <w:r>
        <w:rPr/>
        <w:t>.  The Non-Defaulting Party shall aggregate all Settlement Amounts into a single amount by:  netting out (a) all Settlement Amounts that are due to the Defaulting Party, plus, at the option of the Non-Defaulting Party, any cash or other form of security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1" w:name="__RefHeading___Toc476669050"/>
      <w:bookmarkEnd w:id="21"/>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2" w:name="__RefHeading___Toc476669051"/>
      <w:bookmarkEnd w:id="22"/>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3" w:name="__RefHeading___Toc476669052"/>
      <w:bookmarkEnd w:id="23"/>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 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combination of accounts, lien or other right to which any Party is at any time otherwise entitled (whether by operation of law, contract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4" w:name="__RefHeading___Toc476669053"/>
      <w:bookmarkEnd w:id="24"/>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NERC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5" w:name="__RefHeading___Toc476669054"/>
      <w:bookmarkEnd w:id="25"/>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6" w:name="__RefHeading___Toc476669055"/>
      <w:bookmarkEnd w:id="26"/>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7" w:name="__RefHeading___Toc476669056"/>
      <w:bookmarkEnd w:id="27"/>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8" w:name="__RefHeading___Toc476669057"/>
      <w:bookmarkEnd w:id="28"/>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9" w:name="__RefHeading___Toc476669058"/>
      <w:bookmarkEnd w:id="29"/>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30" w:name="__RefHeading___Toc476669059"/>
      <w:bookmarkEnd w:id="30"/>
      <w:r>
        <w:rPr/>
        <w:t xml:space="preserve">.  If no mutual debts or payment obligations exist and only one Party owes a debt or obligation to the other during the monthly billing period, including, but not limited to, any related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1" w:name="__RefHeading___Toc476669060"/>
      <w:bookmarkEnd w:id="31"/>
      <w:r>
        <w:rPr/>
        <w:t>.  Unless the Party benefiting from Performance Assurance or a guaranty notifies the other Party in writing, and except in connection with a liquidation and termination in accordance with Article Five, all amounts netted pursuant to this Article Six shall not take into account or include any Performance Assurance or guaranty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2" w:name="__RefHeading___Toc476669061"/>
      <w:bookmarkEnd w:id="32"/>
      <w:r>
        <w:rPr/>
        <w:t>.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3" w:name="__RefHeading___Toc476669062"/>
      <w:bookmarkEnd w:id="33"/>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Energy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4" w:name="__RefHeading___Toc476669063"/>
      <w:bookmarkEnd w:id="34"/>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5" w:name="__RefHeading___Toc476669064"/>
      <w:bookmarkEnd w:id="35"/>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6" w:name="__RefHeading___Toc476669065"/>
      <w:bookmarkEnd w:id="36"/>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7" w:name="__RefHeading___Toc476669066"/>
      <w:bookmarkEnd w:id="37"/>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guaranty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and daily with respect to cash),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guaranty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8" w:name="__RefHeading___Toc476669067"/>
      <w:bookmarkEnd w:id="38"/>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guaranty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and daily with respect to cash),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guaranty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9" w:name="__RefHeading___Toc476669068"/>
      <w:bookmarkEnd w:id="39"/>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40" w:name="__RefHeading___Toc476669069"/>
      <w:bookmarkEnd w:id="40"/>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1" w:name="__RefHeading___Toc476669070"/>
      <w:bookmarkEnd w:id="41"/>
      <w:r>
        <w:rPr/>
        <w:t>.  Each Party shall use reasonable efforts to implement the provisions of and to administer this Master Agreement in accordance with the intent of the parties to minimize all taxes ,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2" w:name="__RefHeading___Toc476669071"/>
      <w:bookmarkEnd w:id="42"/>
      <w:r>
        <w:rPr/>
        <w:t>.  Seller shall pay or cause to be paid all taxes imposed by any government authority(“Governmental Charges”) on or with respect to the Product or a Transaction arising prior to the Delivery Point.  Buyer shall pay or cause to be paid all Governmental Charges on or with respect to the Product or a Transaction at and from the Delivery Point (other than ad valorem, franchise or income taxes which are related to the sale of the Product and are, therefore, the responsibility of the Seller).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76669072"/>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76669073"/>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76669074"/>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it is a “forward contract merchant” within the meaning of the United States Bankruptcy Code;</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76669075"/>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76669076"/>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Taxes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76669077"/>
      <w:bookmarkEnd w:id="48"/>
      <w:r>
        <w:rPr/>
        <w:t>.  Neither Party shall assign this Agreement or its rights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76669078"/>
      <w:bookmarkEnd w:id="49"/>
      <w:r>
        <w:rPr/>
        <w:t>.  THIS AGREEMENT AND THE RIGHTS AND DUTIES OF THE PARTIES HEREUNDER SHALL BE GOVERNED BY AND CONSTRUED, ENFORCED AND PERFORMED IN ACCORDANCE WITH THE LAWS OF THE STATE OF NEW YORK, WITHOUT REGARD TO PRINCIPLES OF CONFLICTS OF LAW.  EACH PARTY WAIVES ITS RESPECTIVE RIGHT TO ANY JURY TRIAL WITH RESPECT TO ANY LITIGATION ARISING UNDER OR IN CONNECTION WITH THIS AGREEMENT.</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76669079"/>
      <w:bookmarkEnd w:id="50"/>
      <w:r>
        <w:rPr/>
        <w:t>.  All notices, requests, statements or payments shall be made as specified in the Cover Sheet.  Notices (other than scheduling requests) shall, unless otherwise specified herein, be in writing and may be delivered by hand delivery, United States mail, overnight courier service or facsimile.  Notice by facsimile or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76669080"/>
      <w:bookmarkEnd w:id="51"/>
      <w:r>
        <w:rPr/>
        <w:t>.  This Master Agreement (including the exhibits, schedules and any written supplements hereto), the Party A Tariff, if any, the Party B Tariff, if any, any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76669081"/>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Forward Contract</w:t>
      </w:r>
      <w:r>
        <w:fldChar w:fldCharType="begin"/>
      </w:r>
      <w:r>
        <w:rPr/>
        <w:instrText xml:space="preserve"> TC "10.10</w:instrText>
        <w:tab/>
        <w:instrText xml:space="preserve">Forward Contract" \l 2 </w:instrText>
      </w:r>
      <w:r>
        <w:rPr/>
        <w:fldChar w:fldCharType="separate"/>
      </w:r>
      <w:r>
        <w:rPr/>
      </w:r>
      <w:r>
        <w:rPr/>
        <w:fldChar w:fldCharType="end"/>
      </w:r>
      <w:bookmarkStart w:id="53" w:name="__RefHeading___Toc476669082"/>
      <w:bookmarkEnd w:id="53"/>
      <w:r>
        <w:rPr/>
        <w:t xml:space="preserve">.  The Parties acknowledge and agree that all Transactions constitute “forward contracts” within the meaning of the United States Bankruptcy Code.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76669083"/>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r>
        <w:br w:type="page"/>
      </w:r>
    </w:p>
    <w:p>
      <w:pPr>
        <w:pStyle w:val="Heading"/>
        <w:rPr/>
      </w:pPr>
      <w:r>
        <w:rPr/>
        <w:t>SCHEDULE M</w:t>
      </w:r>
      <w:r>
        <w:fldChar w:fldCharType="begin"/>
      </w:r>
      <w:r>
        <w:rPr/>
        <w:instrText xml:space="preserve"> TC "SCHEDULE M:  GOVERNMENTAL ENTITY OR PUBLIC POWER SYSTEMS" \l 1 </w:instrText>
      </w:r>
      <w:r>
        <w:rPr/>
        <w:fldChar w:fldCharType="separate"/>
      </w:r>
      <w:r>
        <w:rPr/>
      </w:r>
      <w:r>
        <w:rPr/>
        <w:fldChar w:fldCharType="end"/>
      </w:r>
      <w:bookmarkStart w:id="56" w:name="__RefHeading___Toc476669084"/>
      <w:bookmarkEnd w:id="56"/>
    </w:p>
    <w:p>
      <w:pPr>
        <w:pStyle w:val="BlockTextBold"/>
        <w:rPr/>
      </w:pPr>
      <w:r>
        <w:rPr/>
        <w:t>(THIS SCHEDULE IS INCLUDED IF THE APPROPRIATE BOX ON THE COVER SHEET IS MARKED INDICATING A PARTY IS A GOVERNMENTAL ENTITY OR PUBLIC POWER SYSTEM)</w:t>
      </w:r>
    </w:p>
    <w:p>
      <w:pPr>
        <w:pStyle w:val="BodyTextFirstIndent"/>
        <w:rPr/>
      </w:pPr>
      <w:r>
        <w:rPr>
          <w:rStyle w:val="ParaNum"/>
        </w:rPr>
        <w:t>A.</w:t>
      </w:r>
      <w:r>
        <w:rPr/>
        <w:tab/>
        <w:t>The Parties agree to add the following definitions in Article One.</w:t>
      </w:r>
    </w:p>
    <w:p>
      <w:pPr>
        <w:pStyle w:val="QuoteFirstIndent"/>
        <w:rPr/>
      </w:pPr>
      <w:r>
        <w:rPr/>
        <w:t>“</w:t>
      </w:r>
      <w:r>
        <w:rPr/>
        <w:t>Act” means ______________________________.</w:t>
      </w:r>
      <w:r>
        <w:rPr>
          <w:rStyle w:val="FootnoteCharacters"/>
          <w:rStyle w:val="FootnoteReference"/>
        </w:rPr>
        <w:footnoteReference w:id="2"/>
      </w:r>
    </w:p>
    <w:p>
      <w:pPr>
        <w:pStyle w:val="QuoteFirstIndent"/>
        <w:rPr/>
      </w:pPr>
      <w:r>
        <w:rPr/>
        <w:t>“</w:t>
      </w:r>
      <w:r>
        <w:rPr/>
        <w:t>Governmental Entity or Public Power System” means a municipality, county, governmental board, public power authority, public utility district, joint action agency, or other similar political subdivision or public entity of the United States, one or more States or territories or any combination thereof.</w:t>
      </w:r>
    </w:p>
    <w:p>
      <w:pPr>
        <w:pStyle w:val="QuoteFirstIndent"/>
        <w:rPr/>
      </w:pPr>
      <w:r>
        <w:rPr/>
        <w:t>“</w:t>
      </w:r>
      <w:r>
        <w:rPr/>
        <w:t>Special Fund” means a fund or account of the Governmental Entity or Public Power System set aside and or pledged to satisfy the Public Power System’s obligations hereunder out of which amounts shall be paid to satisfy all of the Public Power System’s obligations under this Master Agreement for the entire Delivery Period.</w:t>
      </w:r>
    </w:p>
    <w:p>
      <w:pPr>
        <w:pStyle w:val="BodyTextFirstIndent"/>
        <w:rPr/>
      </w:pPr>
      <w:r>
        <w:rPr>
          <w:rStyle w:val="ParaNum"/>
        </w:rPr>
        <w:t>B.</w:t>
      </w:r>
      <w:r>
        <w:rPr/>
        <w:tab/>
        <w:t>The following sentence shall be added to the end of the definition of “Force Majeure” in Article One.</w:t>
      </w:r>
    </w:p>
    <w:p>
      <w:pPr>
        <w:pStyle w:val="Quote"/>
        <w:rPr/>
      </w:pPr>
      <w:r>
        <w:rPr/>
        <w:t>If the Claiming Party is a Governmental Entity or Public Power System, Force Majeure does not include any action taken by the Governmental Entity or Public Power System in its governmental capacity.</w:t>
      </w:r>
    </w:p>
    <w:p>
      <w:pPr>
        <w:pStyle w:val="BodyTextFirstIndent"/>
        <w:keepNext w:val="true"/>
        <w:rPr/>
      </w:pPr>
      <w:r>
        <w:rPr>
          <w:rStyle w:val="ParaNum"/>
        </w:rPr>
        <w:t>C.</w:t>
      </w:r>
      <w:r>
        <w:rPr/>
        <w:tab/>
        <w:t>The Parties agree to add the following representations and warranties to Section 10.2:</w:t>
      </w:r>
    </w:p>
    <w:p>
      <w:pPr>
        <w:pStyle w:val="QuoteFirstIndent"/>
        <w:rPr/>
      </w:pPr>
      <w:r>
        <w:rPr/>
        <w:t>Further and with respect to a Party that is a Governmental Entity or Public Power System, such Governmental Entity or Public Power System represents and warrants to the other Party continuing throughout the term of this Master Agreement, with respect to this Master Agreement and each Transaction, as follows: (i) all acts necessary to the valid execution, delivery and performance of this Master Agreement, including without limitation, competitive bidding, public notice, election, referendum, prior appropriation or other required procedures has or will be taken and performed as required under the Act and the Public Power System’s ordinances, bylaws or other regulations, (ii) all persons making up the governing body of Governmental Entity or Public Power System are the duly elected or appointed incumbents in their positions and hold such positions in good standing in accordance with the Act and other applicable law, (iii) entry into and performance of this Master Agreement by Governmental Entity or Public Power System are for a proper public purpose within the meaning of the Act and all other relevant constitutional, organic or other governing documents and applicable law, (iv) the term of this Master Agreement does not extend beyond any applicable limitation imposed by the Act or other relevant constitutional, organic or other governing documents and applicable law, (v) the Public Power System’s obligations to make payments hereunder are unsubordinated obligations and such payments are (a) operating and maintenance costs (or similar designation) which enjoy first priority of payment at all times under any and all bond ordinances or indentures to which it is a party, the Act and all other relevant constitutional, organic or other governing documents and applicable law or (b) otherwise not subject to any prior claim under any and all bond ordinances or indentures to which it is a party, the Act and all other relevant constitutional, organic or other governing documents and applicable law and are available without limitation or deduction to satisfy all Governmental Entity or Public Power System’ obligations hereunder and under each Transaction or (c) are to be made solely from a Special Fund, (vi) entry into and performance of this Master Agreement and each Transaction by the Governmental Entity or Public Power System will not adversely affect the exclusion from gross income for federal income tax purposes of interest on any obligation of Governmental Entity or Public Power System otherwise entitled to such exclusion, and (vii) obligations to make payments hereunder do not constitute any kind of indebtedness of Governmental Entity or Public Power System or create any kind of lien on, or security interest in, any property or revenues of Governmental Entity or Public Power System which, in either case, is proscribed by any provision of the Act or any other relevant constitutional, organic or other governing documents and applicable law, any order or judgment of any court or other agency of government applicable to it or its assets, or any contractual restriction binding on or affecting it or any of its assets.</w:t>
      </w:r>
    </w:p>
    <w:p>
      <w:pPr>
        <w:pStyle w:val="BodyTextFirstIndent"/>
        <w:keepNext w:val="true"/>
        <w:rPr/>
      </w:pPr>
      <w:r>
        <w:rPr>
          <w:rStyle w:val="ParaNum"/>
        </w:rPr>
        <w:t>D.</w:t>
      </w:r>
      <w:r>
        <w:rPr/>
        <w:tab/>
        <w:t>The Parties agree to add the following sections to Article Three:</w:t>
      </w:r>
    </w:p>
    <w:p>
      <w:pPr>
        <w:pStyle w:val="QuoteFirstIndent"/>
        <w:rPr/>
      </w:pPr>
      <w:r>
        <w:rPr/>
        <w:t xml:space="preserve">Section </w:t>
      </w:r>
      <w:r>
        <w:rPr>
          <w:rStyle w:val="ParaNum"/>
        </w:rPr>
        <w:t>3.4.</w:t>
      </w:r>
      <w:r>
        <w:rPr/>
        <w:t xml:space="preserve">  </w:t>
      </w:r>
      <w:r>
        <w:rPr>
          <w:u w:val="single"/>
        </w:rPr>
        <w:t>Public Power System’s Deliveries</w:t>
      </w:r>
      <w:r>
        <w:rPr/>
        <w:t>.  On the Effective Date and as a condition to the obligations of the other Party under this Agreement, Governmental Entity or Public Power System shall provide the other Party hereto (i) certified copies of all ordinances, resolutions, public notices and other documents evidencing the necessary authorizations with respect to the execution, delivery and performance by Governmental Entity or Public Power System of this Master Agreement and (ii) an opinion of counsel for Governmental Entity or Public Power System, in form and substance reasonably satisfactory to the Other Party, regarding the validity, binding effect and enforceability of this Master Agreement against Governmental Entity or Public Power System in respect of the Act and all other relevant constitutional organic or other governing documents and applicable law.</w:t>
      </w:r>
    </w:p>
    <w:p>
      <w:pPr>
        <w:pStyle w:val="QuoteFirstIndent"/>
        <w:rPr/>
      </w:pPr>
      <w:r>
        <w:rPr/>
        <w:t xml:space="preserve">Section </w:t>
      </w:r>
      <w:r>
        <w:rPr>
          <w:rStyle w:val="ParaNum"/>
        </w:rPr>
        <w:t>3.5.</w:t>
      </w:r>
      <w:r>
        <w:rPr/>
        <w:t xml:space="preserve">  </w:t>
      </w:r>
      <w:r>
        <w:rPr>
          <w:u w:val="single"/>
        </w:rPr>
        <w:t>No Immunity Claim</w:t>
      </w:r>
      <w:r>
        <w:rPr/>
        <w:t>.  Governmental Entity or Public Power System warrants and covenants that with respect to its contractual obligations hereunder and performance thereof, it will not claim immunity on the grounds of sovereignty or similar grounds with respect to itself or its revenues or assets from (a) suit, (b) jurisdiction of court (including a court located outside the jurisdiction of its organization), (c) relief by way of injunction, order for specific performance or recovery of property, (d) attachment of assets, or (e) execution or enforcement of any judgment.</w:t>
      </w:r>
    </w:p>
    <w:p>
      <w:pPr>
        <w:pStyle w:val="BodyTextFirstIndent"/>
        <w:keepNext w:val="true"/>
        <w:rPr/>
      </w:pPr>
      <w:r>
        <w:rPr>
          <w:rStyle w:val="ParaNum"/>
        </w:rPr>
        <w:t>E.</w:t>
      </w:r>
      <w:r>
        <w:rPr/>
        <w:tab/>
        <w:t>If the appropriate box is checked on the Cover Sheet, as an alternative to selecting one of the options under Section 8.3, the Parties agree to add the following section to Article Three:</w:t>
      </w:r>
    </w:p>
    <w:p>
      <w:pPr>
        <w:pStyle w:val="QuoteFirstIndent"/>
        <w:rPr/>
      </w:pPr>
      <w:r>
        <w:rPr/>
        <w:t xml:space="preserve">Section </w:t>
      </w:r>
      <w:r>
        <w:rPr>
          <w:rStyle w:val="ParaNum"/>
        </w:rPr>
        <w:t>3.6.</w:t>
      </w:r>
      <w:r>
        <w:rPr/>
        <w:t xml:space="preserve"> </w:t>
      </w:r>
      <w:r>
        <w:rPr>
          <w:u w:val="single"/>
        </w:rPr>
        <w:t>Governmental Entity or Public Power System Security</w:t>
      </w:r>
      <w:r>
        <w:rPr/>
        <w:t>.  With respect to each Transaction, Governmental Entity or Public Power System shall either (i) have created and set aside a Special Fund or (ii) upon execution of this Master Agreement and prior to the commencement of each subsequent fiscal year of Governmental Entity or Public Power System during any Delivery Period, have obtained all necessary budgetary approvals and certifications for payment of all of its obligations under this Master Agreement for such fiscal year; any breach of this provision shall be deemed to have arisen during a fiscal period of Governmental Entity or Public Power System for which budgetary approval or certification of its obligations under this Master Agreement is in effect and, notwithstanding anything to the contrary in Article Four, an Early Termination Date shall automatically and without further notice occur hereunder as of such date wherein Governmental Entity or Public Power System shall be treated as the Defaulting Party.  Governmental Entity or Public Power System shall have allocated to the Special Fund or its general funds a revenue base that is adequate to cover Public Power System’s payment obligations hereunder throughout the entire Delivery Period.</w:t>
      </w:r>
    </w:p>
    <w:p>
      <w:pPr>
        <w:pStyle w:val="BodyTextFirstIndent"/>
        <w:keepNext w:val="true"/>
        <w:rPr/>
      </w:pPr>
      <w:r>
        <w:rPr>
          <w:rStyle w:val="ParaNum"/>
        </w:rPr>
        <w:t>F.</w:t>
      </w:r>
      <w:r>
        <w:rPr/>
        <w:tab/>
        <w:t>If the appropriate box is checked on the Cover Sheet, the Parties agree to add the following section to Article Eight:</w:t>
      </w:r>
    </w:p>
    <w:p>
      <w:pPr>
        <w:pStyle w:val="QuoteFirstIndent"/>
        <w:rPr/>
      </w:pPr>
      <w:r>
        <w:rPr/>
        <w:t xml:space="preserve">Section </w:t>
      </w:r>
      <w:r>
        <w:rPr>
          <w:rStyle w:val="ParaNum"/>
        </w:rPr>
        <w:t>8.6.</w:t>
      </w:r>
      <w:r>
        <w:rPr/>
        <w:t xml:space="preserve">  </w:t>
      </w:r>
      <w:r>
        <w:rPr>
          <w:u w:val="single"/>
        </w:rPr>
        <w:t>Governmental Security</w:t>
      </w:r>
      <w:r>
        <w:rPr/>
        <w:t>.  As security for payment and performance of Public Power System’s obligations hereunder, Public Power System hereby pledges, sets over, assigns and grants to the other Party a security interest in all of Public Power System’s right, title and interest in and to [specify collateral].</w:t>
      </w:r>
    </w:p>
    <w:p>
      <w:pPr>
        <w:pStyle w:val="BodyTextFirstIndent"/>
        <w:keepNext w:val="true"/>
        <w:rPr/>
      </w:pPr>
      <w:r>
        <w:rPr>
          <w:rStyle w:val="ParaNum"/>
        </w:rPr>
        <w:t>G.</w:t>
      </w:r>
      <w:r>
        <w:rPr/>
        <w:tab/>
        <w:t>The Parties agree to add the following sentence at the end of Section 10.6 - Governing Law:</w:t>
      </w:r>
    </w:p>
    <w:p>
      <w:pPr>
        <w:pStyle w:val="Quote"/>
        <w:rPr/>
      </w:pPr>
      <w:r>
        <w:rPr/>
        <w:t>NOTWITHSTANDING THE FOREGOING, IN RESPECT OF THE APPLICABILITY OF THE ACT AS HEREIN PROVIDED, THE LAWS OF THE STATE OF _____________</w:t>
      </w:r>
      <w:r>
        <w:rPr>
          <w:rStyle w:val="FootnoteCharacters"/>
          <w:rStyle w:val="FootnoteReference"/>
        </w:rPr>
        <w:footnoteReference w:id="3"/>
      </w:r>
      <w:r>
        <w:rPr/>
        <w:t xml:space="preserve"> SHALL APPLY.</w:t>
      </w:r>
      <w:r>
        <w:br w:type="page"/>
      </w:r>
    </w:p>
    <w:p>
      <w:pPr>
        <w:pStyle w:val="Heading"/>
        <w:rPr/>
      </w:pPr>
      <w:r>
        <w:rPr/>
        <w:t>SCHEDULE P:  PRODUCTS AND RELATED DEFINITIONS</w:t>
      </w:r>
      <w:r>
        <w:fldChar w:fldCharType="begin"/>
      </w:r>
      <w:r>
        <w:rPr/>
        <w:instrText xml:space="preserve"> TC "SCHEDULE P:  PRODUCTS AND RELATED DEFINITIONS" \l 1 </w:instrText>
      </w:r>
      <w:r>
        <w:rPr/>
        <w:fldChar w:fldCharType="separate"/>
      </w:r>
      <w:r>
        <w:rPr/>
      </w:r>
      <w:r>
        <w:rPr/>
        <w:fldChar w:fldCharType="end"/>
      </w:r>
      <w:bookmarkStart w:id="57" w:name="__RefHeading___Toc476669085"/>
      <w:bookmarkEnd w:id="57"/>
    </w:p>
    <w:p>
      <w:pPr>
        <w:pStyle w:val="BodyTextFirstIndent"/>
        <w:rPr/>
      </w:pPr>
      <w:r>
        <w:rPr/>
        <w:t>“</w:t>
      </w:r>
      <w:r>
        <w:rPr/>
        <w:t xml:space="preserve">Ancillary Services” means any of the services identified by a Transmission Provider in its transmission tariff as “ancillary services” including, but not limited to, regulation and frequency response, energy imbalance, operating reserve-spinning and operating reserve-supplemental, as may be specified in the Transaction. </w:t>
      </w:r>
    </w:p>
    <w:p>
      <w:pPr>
        <w:pStyle w:val="BodyTextFirstIndent"/>
        <w:rPr/>
      </w:pPr>
      <w:r>
        <w:rPr/>
        <w:t>“</w:t>
      </w:r>
      <w:r>
        <w:rPr/>
        <w:t>Capacity” has the meaning specified in the Transaction.</w:t>
      </w:r>
    </w:p>
    <w:p>
      <w:pPr>
        <w:pStyle w:val="BodyTextFirstIndent"/>
        <w:rPr/>
      </w:pPr>
      <w:r>
        <w:rPr/>
        <w:t>“</w:t>
      </w:r>
      <w:r>
        <w:rPr/>
        <w:t xml:space="preserve">Energy” means three-phase, 60-cycle alternating current electric energy, expressed in megawatt hours. </w:t>
      </w:r>
    </w:p>
    <w:p>
      <w:pPr>
        <w:pStyle w:val="BodyTextFirstIndent"/>
        <w:rPr/>
      </w:pPr>
      <w:r>
        <w:rPr/>
        <w:t>“</w:t>
      </w:r>
      <w:r>
        <w:rPr/>
        <w:t>Firm (LD)” means, with respect to a Transaction, that either Party shall be relieved of its obligations to sell and deliver or purchase and receive without liability only to the extent that, and for the period during which, such performance is prevented by Force Majeure.  In the absence of Force Majeure, the Party to which performance is owed shall be entitled to receive from the Party which failed to deliver/receive an amount determined pursuant to Article Four.</w:t>
      </w:r>
    </w:p>
    <w:p>
      <w:pPr>
        <w:pStyle w:val="BodyTextFirstIndent"/>
        <w:rPr/>
      </w:pPr>
      <w:r>
        <w:rPr/>
        <w:t>“</w:t>
      </w:r>
      <w:r>
        <w:rPr/>
        <w:t>Firm Transmission Contingent - Contract Path” means, with respect to a Transaction, that the performance of either Seller or Buyer (as specified in the Transaction) shall be excused, and no damages shall be payable including any amounts determined pursuant to Article Four, if the transmission for such Transaction is interrupted or curtailed and (i) such Party has provided for firm transmission with the transmission provider(s) for the Product in the case of the Seller from the generation source to the Delivery Point or in the case of the Buyer from the Delivery Point to the ultimate sink, and (ii) such interruption or curtailment is due to “force majeure” or “uncontrollable force” or a similar term as defined under the applicable transmission provider’s tariff.  This contingency shall excuse performance for the duration of the interruption or curtailment notwithstanding the provisions of the definition of “Force Majeure” in Section 1.23 to the contrary.</w:t>
      </w:r>
    </w:p>
    <w:p>
      <w:pPr>
        <w:pStyle w:val="BodyTextFirstIndent"/>
        <w:rPr/>
      </w:pPr>
      <w:r>
        <w:rPr/>
        <w:t>“</w:t>
      </w:r>
      <w:r>
        <w:rPr/>
        <w:t>Firm Transmission Contingent - Delivery Point” means, with respect to a Transaction, that the performance of either Seller or Buyer (as specified in the Transaction) shall be excused, and no damages shall be payable including any amounts determined pursuant to Article Four, if the transmission to the Delivery Point (in the case of Seller) or from the Delivery Point (in the case of Buyer) for such Transaction is interrupted or curtailed and (i) such Party has provided for firm transmission with the transmission provider(s) for the Product, in the case of the Seller, to be delivered to the Delivery Point or, in the case of Buyer, to be received at the Delivery Point and (ii) such interruption or curtailment is due to “force majeure” or “uncontrollable force” or a similar term as defined under the applicable transmission provider’s tariff.  This transmission contingency excuses performance for the duration of the interruption or curtailment, notwithstanding the provisions of the definition of “Force Majeure” in Section 1.23 to the contrary.  Interruptions or curtailments of transmission other than the transmission either immediately to or from the Delivery Point shall not excuse performance</w:t>
      </w:r>
    </w:p>
    <w:p>
      <w:pPr>
        <w:pStyle w:val="BodyTextFirstIndent"/>
        <w:rPr/>
      </w:pPr>
      <w:r>
        <w:rPr/>
        <w:t>“</w:t>
      </w:r>
      <w:r>
        <w:rPr/>
        <w:t>Firm (No Force Majeure)” means, with respect to a Transaction, that if either Party fails to perform its obligation to sell and deliver or purchase and receive the Product, the Party to which performance is owed shall be entitled to receive from the Party which failed to perform an amount determined pursuant to Article Four.  Force Majeure shall not excuse performance of a Firm (No Force Majeure) Transaction.</w:t>
      </w:r>
    </w:p>
    <w:p>
      <w:pPr>
        <w:pStyle w:val="BodyTextFirstIndent"/>
        <w:rPr/>
      </w:pPr>
      <w:r>
        <w:rPr/>
        <w:t>“</w:t>
      </w:r>
      <w:r>
        <w:rPr/>
        <w:t>Into ______________ (the “Receiving Transmission Provider”), Seller’s Daily Choice” means that, in accordance with the provisions set forth below, (1) the Product shall be scheduled and delivered to an interconnection or interface (“Interface”) either (a) on the Receiving Transmission Provider’s transmission system border or (b) within the control area of the Receiving Transmission Provider if the Product is from a source of generation in that control area, which Interface, in either case, the Receiving Transmission Provider identifies as available for delivery of the Product in or into its control area; and (2) Seller has the right on a daily prescheduled basis to designate the Interface where the Product shall be delivered.  An “Into” Product shall be subject to the following provisions:</w:t>
      </w:r>
    </w:p>
    <w:p>
      <w:pPr>
        <w:pStyle w:val="BodyTextFirstIndent"/>
        <w:rPr/>
      </w:pPr>
      <w:r>
        <w:rPr>
          <w:rStyle w:val="ParaNum"/>
        </w:rPr>
        <w:t>1.</w:t>
      </w:r>
      <w:r>
        <w:rPr/>
        <w:tab/>
      </w:r>
      <w:r>
        <w:rPr>
          <w:u w:val="single"/>
        </w:rPr>
        <w:t>Prescheduling and Notification</w:t>
      </w:r>
      <w:r>
        <w:rPr/>
        <w:t>.  Subject to the provisions of Section 6, not later than the prescheduling deadline of 11:00 a.m. CPT on the Business Day before the next delivery day or as otherwise agreed to by Buyer and Seller, Seller shall notify Buyer (“Seller’s Notification”) of Seller’s immediate upstream counterparty and the Interface (the “Designated Interface”) where Seller shall deliver the Product for the next delivery day, and Buyer shall notify Seller of Buyer’s immediate downstream counterparty.</w:t>
      </w:r>
    </w:p>
    <w:p>
      <w:pPr>
        <w:pStyle w:val="BodyTextFirstIndent"/>
        <w:rPr/>
      </w:pPr>
      <w:r>
        <w:rPr>
          <w:rStyle w:val="ParaNum"/>
        </w:rPr>
        <w:t>2.</w:t>
      </w:r>
      <w:r>
        <w:rPr/>
        <w:tab/>
      </w:r>
      <w:r>
        <w:rPr>
          <w:u w:val="single"/>
        </w:rPr>
        <w:t>Availability of “Firm Transmission” to Buyer at Designated Interface; “Timely Request for Transmission,” “ADI” and “Available Transmission</w:t>
      </w:r>
      <w:r>
        <w:rPr/>
        <w:t>.</w:t>
      </w:r>
      <w:r>
        <w:rPr>
          <w:smallCaps/>
        </w:rPr>
        <w:t>”</w:t>
      </w:r>
      <w:r>
        <w:rPr/>
        <w:t xml:space="preserve">  In determining availability to Buyer of next-day firm transmission (“Firm Transmission”) from the Designated Interface, a “Timely Request for Transmission” shall mean a properly completed request for Firm Transmission made by Buyer in accordance with the controlling tariff procedures, which request shall be submitted to the Receiving Transmission Provider no later than 30 minutes after delivery of Seller’s Notification, provided, however, if the Receiving Transmission Provider is not accepting requests for Firm Transmission at the time of Seller’s Notification, then such request by Buyer shall be made within 30 minutes of the time when the Receiving Transmission Provider first opens thereafter for purposes of accepting requests for Firm Transmission.</w:t>
      </w:r>
    </w:p>
    <w:p>
      <w:pPr>
        <w:pStyle w:val="BodyTextFirstIndent"/>
        <w:rPr/>
      </w:pPr>
      <w:r>
        <w:rPr/>
        <w:t>Pursuant to the terms hereof, delivery of the Product may under certain circumstances be redesignated to occur at an Interface other than the Designated Interface (any such alternate designated interface, an “ADI”) either (a) on the Receiving Transmission Provider’s transmission system border or (b) within the control area of the Receiving Transmission Provider if the Product is from a source of generation in that control area, which ADI, in either case, the Receiving Transmission Provider identifies as available for delivery of the Product in or into its control area using either firm or non-firm transmission, as available on a day-ahead or hourly basis (individually or collectively referred to as “Available Transmission”) within the Receiving Transmission Provider’s transmission system.</w:t>
      </w:r>
    </w:p>
    <w:p>
      <w:pPr>
        <w:pStyle w:val="BodyTextFirstIndent"/>
        <w:keepNext w:val="true"/>
        <w:rPr/>
      </w:pPr>
      <w:r>
        <w:rPr>
          <w:rStyle w:val="ParaNum"/>
        </w:rPr>
        <w:t>3.</w:t>
      </w:r>
      <w:r>
        <w:rPr/>
        <w:tab/>
      </w:r>
      <w:r>
        <w:rPr>
          <w:u w:val="single"/>
        </w:rPr>
        <w:t>Rights of Buyer and Seller Depending Upon Availability of/Timely Request for Firm Transmission</w:t>
      </w:r>
      <w:r>
        <w:rPr/>
        <w:t xml:space="preserve">. </w:t>
      </w:r>
    </w:p>
    <w:p>
      <w:pPr>
        <w:pStyle w:val="BodyTextIndent"/>
        <w:rPr/>
      </w:pPr>
      <w:r>
        <w:rPr>
          <w:rStyle w:val="ParaNum"/>
        </w:rPr>
        <w:t>A.</w:t>
      </w:r>
      <w:r>
        <w:rPr/>
        <w:tab/>
      </w:r>
      <w:r>
        <w:rPr>
          <w:u w:val="single"/>
        </w:rPr>
        <w:t>Timely Request for Firm Transmission made by Buyer, Accepted by the Receiving Transmission Provider and Purchased by Buyer</w:t>
      </w:r>
      <w:r>
        <w:rPr/>
        <w:t xml:space="preserve">.  If a Timely Request for Firm Transmission is made by Buyer and is accepted by the Receiving Transmission Provider and Buyer purchases such Firm Transmission, then Seller shall deliver and Buyer shall receive the Product at the Designated Interface. </w:t>
      </w:r>
    </w:p>
    <w:p>
      <w:pPr>
        <w:pStyle w:val="BodyTextIndent2"/>
        <w:rPr/>
      </w:pPr>
      <w:r>
        <w:rPr>
          <w:rStyle w:val="ParaNum"/>
        </w:rPr>
        <w:t>i.</w:t>
      </w:r>
      <w:r>
        <w:rPr/>
        <w:tab/>
        <w:t xml:space="preserve">If the Firm Transmission purchased by Buyer within the Receiving Transmission Provider’s transmission system from the Designated Interface ceases to be available to Buyer for any reason, or if Seller is unable to deliver the Product at the Designated Interface for any reason except Buyer’s non-performance, then at Seller’s choice from among the following, Seller shall:  (a) to the extent Firm Transmission is available to Buyer from an ADI on a day-ahead basis, require Buyer to purchase such Firm Transmission from such ADI, and schedule and deliver the affected portion of the Product to such ADI on the basis of Buyer’s purchase of Firm Transmission, or (b) require Buyer to purchase non-firm transmission, and schedule and deliver the affected portion of the Product on the basis of Buyer’s purchase of non-firm transmission from the Designated Interface or an ADI designated by Seller, or (c) to the extent firm transmission is available on an hourly basis, require Buyer to purchase firm transmission, and schedule and deliver the affected portion of the Product on the basis of Buyer’s purchase of such hourly firm transmission from the Designated Interface or an ADI designated by Seller.  </w:t>
      </w:r>
    </w:p>
    <w:p>
      <w:pPr>
        <w:pStyle w:val="BodyTextIndent2"/>
        <w:rPr/>
      </w:pPr>
      <w:r>
        <w:rPr>
          <w:rStyle w:val="ParaNum"/>
        </w:rPr>
        <w:t>ii.</w:t>
      </w:r>
      <w:r>
        <w:rPr/>
        <w:tab/>
        <w:t>If the Available Transmission utilized by Buyer as required by Seller pursuant to Section 3A(i) ceases to be available to Buyer for any reason, then Seller shall again have those alternatives stated in Section 3A(i) in order to satisfy its obligations.</w:t>
      </w:r>
    </w:p>
    <w:p>
      <w:pPr>
        <w:pStyle w:val="BodyTextIndent2"/>
        <w:rPr/>
      </w:pPr>
      <w:r>
        <w:rPr>
          <w:rStyle w:val="ParaNum"/>
        </w:rPr>
        <w:t>iii.</w:t>
      </w:r>
      <w:r>
        <w:rPr/>
        <w:tab/>
        <w:t>Seller’s obligation to schedule and deliver the Product at an ADI is subject to Buyer’s obligation referenced in Section 4B to cooperate reasonably therewith.  If Buyer and Seller cannot complete the scheduling and/or delivery at an ADI, then Buyer shall be deemed to have satisfied its receipt obligations to Seller and Seller shall be deemed to have failed its delivery obligations to Buyer, and Seller shall be liable to Buyer for amounts determined pursuant to Article Four.</w:t>
      </w:r>
    </w:p>
    <w:p>
      <w:pPr>
        <w:pStyle w:val="BodyTextIndent2"/>
        <w:rPr/>
      </w:pPr>
      <w:r>
        <w:rPr>
          <w:rStyle w:val="ParaNum"/>
        </w:rPr>
        <w:t>iv.</w:t>
      </w:r>
      <w:r>
        <w:rPr/>
        <w:tab/>
        <w:t>In each instance in which Buyer and Seller must make alternative scheduling arrangements for delivery at the Designated Interface or an ADI pursuant to Sections 3A(i) or (ii), and Firm Transmission had been purchased by both Seller and Buyer into and within the Receiving Transmission Provider’s transmission system as to the scheduled delivery which could not be completed as a result of the interruption or curtailment of such Firm Transmission, Buyer and Seller shall bear their respective transmission expenses and/or associated congestion charges incurred in connection with efforts to complete delivery by such alternative scheduling and delivery arrangements.  In any instance except as set forth in the immediately preceding sentence, Buyer and Seller must make alternative scheduling arrangements for delivery at the Designated Interface or an ADI under Sections 3A(i) or (ii), Seller shall be responsible for any additional transmission purchases and/or associated congestion charges incurred by Buyer in connection with such alternative scheduling arrangements.</w:t>
      </w:r>
    </w:p>
    <w:p>
      <w:pPr>
        <w:pStyle w:val="BodyTextIndent"/>
        <w:rPr/>
      </w:pPr>
      <w:r>
        <w:rPr>
          <w:rStyle w:val="ParaNum"/>
        </w:rPr>
        <w:t>B.</w:t>
      </w:r>
      <w:r>
        <w:rPr/>
        <w:tab/>
      </w:r>
      <w:r>
        <w:rPr>
          <w:u w:val="single"/>
        </w:rPr>
        <w:t>Timely Request for Firm Transmission Made by Buyer but Rejected by the Receiving Transmission Provider</w:t>
      </w:r>
      <w:r>
        <w:rPr/>
        <w:t>.  If Buyer’s Timely Request for Firm Transmission is rejected by the Receiving Transmission Provider because of unavailability of Firm Transmission from the Designated Interface, then Buyer shall notify Seller within 15 minutes after receipt of the Receiving Transmission Provider’s notice of rejection (“Buyer’s Rejection Notice”).  If Buyer timely notifies Seller of such unavailability of Firm Transmission from the Designated Interface, then Seller shall be obligated either (1) to the extent Firm Transmission is available to Buyer from an ADI on a day-ahead basis, to require Buyer to purchase (at Buyer’s own expense) such Firm Transmission from such ADI and schedule and deliver the Product to such ADI on the basis of Buyer’s purchase of Firm Transmission, and thereafter the provisions in Section 3A shall apply, or (2) to require Buyer to purchase (at Buyer’s own expense) non-firm transmission, and schedule and deliver the Product on the basis of Buyer’s purchase of non-firm transmission from the Designated Interface or an ADI designated by the Seller, in which case Seller shall bear the risk of interruption or curtailment of the non-firm transmission; provided, however, that if the non-firm transmission is interrupted or curtailed or if Seller is unable to deliver the Product for any reason, Seller shall have the right to schedule and deliver the Product to another ADI in order to satisfy its delivery obligations, in which case Seller shall be responsible for any additional transmission purchases and/or associated congestion charges incurred by Buyer in connection with Seller’s inability to deliver the Product as originally prescheduled.  If Buyer fails to timely notify Seller of the unavailability of Firm Transmission, then Buyer shall bear the risk of interruption or curtailment of transmission from the Designated Interface, and the provisions of Section 3D shall apply.</w:t>
      </w:r>
    </w:p>
    <w:p>
      <w:pPr>
        <w:pStyle w:val="BodyTextIndent"/>
        <w:rPr/>
      </w:pPr>
      <w:r>
        <w:rPr>
          <w:rStyle w:val="ParaNum"/>
        </w:rPr>
        <w:t>C.</w:t>
      </w:r>
      <w:r>
        <w:rPr/>
        <w:tab/>
      </w:r>
      <w:r>
        <w:rPr>
          <w:u w:val="single"/>
        </w:rPr>
        <w:t>Timely Request for Firm Transmission Made by Buyer, Accepted by the Receiving Transmission Provider and not Purchased by Buyer</w:t>
      </w:r>
      <w:r>
        <w:rPr/>
        <w:t>.  If Buyer’s Timely Request for Firm Transmission is accepted by the Receiving Transmission Provider but Buyer elects to purchase non-firm transmission rather than Firm Transmission to take delivery of the Product,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Indent"/>
        <w:rPr/>
      </w:pPr>
      <w:r>
        <w:rPr>
          <w:rStyle w:val="ParaNum"/>
        </w:rPr>
        <w:t>D.</w:t>
      </w:r>
      <w:r>
        <w:rPr/>
        <w:tab/>
      </w:r>
      <w:r>
        <w:rPr>
          <w:u w:val="single"/>
        </w:rPr>
        <w:t>No Timely Request for Firm Transmission Made by Buyer, or Buyer Fails to Timely Send Buyer’s Rejection Notice</w:t>
      </w:r>
      <w:r>
        <w:rPr/>
        <w:t>.  If Buyer fails to make a Timely Request for Firm Transmission or Buyer fails to timely deliver Buyer’s Rejection Notice, then Buyer shall bear the risk of interruption or curtailment of transmission from the Designated Interface.  In such circumstances, if Seller’s delivery is interrupted as a result of transmission relied upon by Buyer from the Designated Interface, then Seller shall be deemed to have satisfied its delivery obligations to Buyer, Buyer shall be deemed to have failed to receive the Product and Buyer shall be liable to Seller for amounts determined pursuant to Article Four.</w:t>
      </w:r>
    </w:p>
    <w:p>
      <w:pPr>
        <w:pStyle w:val="BodyTextFirstIndent"/>
        <w:keepNext w:val="true"/>
        <w:rPr/>
      </w:pPr>
      <w:r>
        <w:rPr>
          <w:rStyle w:val="ParaNum"/>
        </w:rPr>
        <w:t>4.</w:t>
      </w:r>
      <w:r>
        <w:rPr/>
        <w:tab/>
      </w:r>
      <w:r>
        <w:rPr>
          <w:u w:val="single"/>
        </w:rPr>
        <w:t>Transmission</w:t>
      </w:r>
      <w:r>
        <w:rPr/>
        <w:t xml:space="preserve">. </w:t>
      </w:r>
    </w:p>
    <w:p>
      <w:pPr>
        <w:pStyle w:val="BodyTextIndent"/>
        <w:rPr/>
      </w:pPr>
      <w:r>
        <w:rPr>
          <w:rStyle w:val="ParaNum"/>
        </w:rPr>
        <w:t>A.</w:t>
      </w:r>
      <w:r>
        <w:rPr/>
        <w:tab/>
      </w:r>
      <w:r>
        <w:rPr>
          <w:u w:val="single"/>
        </w:rPr>
        <w:t>Seller’s Responsibilities</w:t>
      </w:r>
      <w:r>
        <w:rPr/>
        <w:t>.  Seller shall be responsible for transmission required to deliver the Product to the Designated Interface or ADI, as the case may be.  It is expressly agreed that Seller is not required to utilize Firm Transmission for its delivery obligations hereunder, and Seller shall bear the risk of utilizing non-firm transmission.  If Seller’s scheduled delivery to Buyer is interrupted as a result of Buyer’s attempted transmission of the Product beyond the Receiving Transmission Provider’s system border, then Seller will be deemed to have satisfied its delivery obligations to Buyer, Buyer shall be deemed to have failed to receive the Product and Buyer shall be liable to Seller for damages pursuant to Article Four.</w:t>
      </w:r>
    </w:p>
    <w:p>
      <w:pPr>
        <w:pStyle w:val="BodyTextIndent"/>
        <w:rPr/>
      </w:pPr>
      <w:r>
        <w:rPr>
          <w:rStyle w:val="ParaNum"/>
        </w:rPr>
        <w:t>B.</w:t>
      </w:r>
      <w:r>
        <w:rPr/>
        <w:tab/>
      </w:r>
      <w:r>
        <w:rPr>
          <w:u w:val="single"/>
        </w:rPr>
        <w:t>Buyer’s Responsibilities</w:t>
      </w:r>
      <w:r>
        <w:rPr/>
        <w:t>.  Buyer shall be responsible for transmission required to receive and transmit the Product at and from the Designated Interface or ADI, as the case may be, and except as specifically provided in Section 3A and 3B, shall be responsible for any costs associated with transmission therefrom.  If Seller is attempting to complete the designation of an ADI as a result of Seller’s rights and obligations hereunder, Buyer shall co-operate reasonably with Seller in order to effect such alternate designation.</w:t>
      </w:r>
    </w:p>
    <w:p>
      <w:pPr>
        <w:pStyle w:val="BodyTextFirstIndent"/>
        <w:rPr/>
      </w:pPr>
      <w:r>
        <w:rPr>
          <w:rStyle w:val="ParaNum"/>
        </w:rPr>
        <w:t>5.</w:t>
      </w:r>
      <w:r>
        <w:rPr/>
        <w:tab/>
      </w:r>
      <w:r>
        <w:rPr>
          <w:u w:val="single"/>
        </w:rPr>
        <w:t>Force Majeure</w:t>
      </w:r>
      <w:r>
        <w:rPr/>
        <w:t xml:space="preserve">.  An “Into” Product shall be subject to the “Force Majeure” provisions in Section 1.23. </w:t>
      </w:r>
    </w:p>
    <w:p>
      <w:pPr>
        <w:pStyle w:val="BodyTextFirstIndent"/>
        <w:rPr/>
      </w:pPr>
      <w:r>
        <w:rPr>
          <w:rStyle w:val="ParaNum"/>
        </w:rPr>
        <w:t>6.</w:t>
      </w:r>
      <w:r>
        <w:rPr/>
        <w:tab/>
      </w:r>
      <w:r>
        <w:rPr>
          <w:u w:val="single"/>
        </w:rPr>
        <w:t>Multiple Parties in Delivery Chain Involving a Designated Interface</w:t>
      </w:r>
      <w:r>
        <w:rPr/>
        <w:t>.  Seller and Buyer recognize that there may be multiple parties involved in the delivery and receipt of the Product at the Designated Interface or ADI to the extent that (1) Seller may be purchasing the Product from a succession of other sellers (“Other Sellers”), the first of which Other Sellers shall be causing the Product to be generated from a source (“Source Seller”) and/or (2) Buyer may be selling the Product to a succession of other buyers (“Other Buyers”), the last of which Other Buyers shall be using the Product to serve its energy needs (“Sink Buyer”).  Seller and Buyer further recognize that in certain Transactions neither Seller nor Buyer may originate the decision as to either (a) the original identification of the Designated Interface or ADI (which designation may be made by the Source Seller) or (b) the Timely Request for Firm Transmission or the purchase of other Available Transmission (which request may be made by the Sink Buyer).  Accordingly, Seller and Buyer agree as follows:</w:t>
      </w:r>
    </w:p>
    <w:p>
      <w:pPr>
        <w:pStyle w:val="BodyTextIndent"/>
        <w:rPr/>
      </w:pPr>
      <w:r>
        <w:rPr>
          <w:rStyle w:val="ParaNum"/>
        </w:rPr>
        <w:t>A.</w:t>
      </w:r>
      <w:r>
        <w:rPr/>
        <w:tab/>
        <w:t>If Seller is not the Source Seller, then Seller shall notify Buyer of the Designated Interface promptly after Seller is notified thereof by the Other Seller with whom Seller has a contractual relationship, but in no event may such designation of the Designated Interface be later than the prescheduling deadline pertaining to the Transaction between Buyer and Seller pursuant to Section 1.</w:t>
      </w:r>
    </w:p>
    <w:p>
      <w:pPr>
        <w:pStyle w:val="BodyTextIndent"/>
        <w:rPr/>
      </w:pPr>
      <w:r>
        <w:rPr>
          <w:rStyle w:val="ParaNum"/>
        </w:rPr>
        <w:t>B.</w:t>
      </w:r>
      <w:r>
        <w:rPr/>
        <w:tab/>
        <w:t>If Buyer is not the Sink Buyer, then Buyer shall notify the Other Buyer with whom Buyer has a contractual relationship of the Designated Interface promptly after Seller notifies Buyer thereof, with the intent being that the party bearing actual responsibility to secure transmission shall have up to 30 minutes after receipt of the Designated Interface to submit its Timely Request for Firm Transmission.</w:t>
      </w:r>
    </w:p>
    <w:p>
      <w:pPr>
        <w:pStyle w:val="BodyTextIndent"/>
        <w:rPr/>
      </w:pPr>
      <w:r>
        <w:rPr>
          <w:rStyle w:val="ParaNum"/>
        </w:rPr>
        <w:t>C.</w:t>
      </w:r>
      <w:r>
        <w:rPr/>
        <w:tab/>
        <w:t>Seller and Buyer each agree that any other communications or actions required to be given or made in connection with this “Into Product” (including without limitation, information relating to an ADI) shall be made or taken promptly after receipt of the relevant information from the Other Sellers and Other Buyers, as the case may be.</w:t>
      </w:r>
    </w:p>
    <w:p>
      <w:pPr>
        <w:pStyle w:val="BodyTextIndent"/>
        <w:rPr/>
      </w:pPr>
      <w:r>
        <w:rPr>
          <w:rStyle w:val="ParaNum"/>
        </w:rPr>
        <w:t>D.</w:t>
      </w:r>
      <w:r>
        <w:rPr/>
        <w:tab/>
        <w:t>Seller and Buyer each agree that in certain Transactions time is of the essence and it may be desirable to provide necessary information to Other Sellers and Other Buyers in order to complete the scheduling and delivery of the Product.  Accordingly, Seller and Buyer agree that each has the right, but not the obligation, to provide information at its own risk to Other Sellers and Other Buyers, as the case may be, in order to effect the prescheduling, scheduling and delivery of the Product</w:t>
      </w:r>
    </w:p>
    <w:p>
      <w:pPr>
        <w:pStyle w:val="BodyTextFirstIndent"/>
        <w:rPr/>
      </w:pPr>
      <w:r>
        <w:rPr/>
        <w:t>“</w:t>
      </w:r>
      <w:r>
        <w:rPr/>
        <w:t>Native Load” means the demand imposed on an electric utility or an entity by the requirements of retail customers located within a franchised service territory that the electric utility or entity has statutory obligation to serve.</w:t>
      </w:r>
    </w:p>
    <w:p>
      <w:pPr>
        <w:pStyle w:val="BodyTextFirstIndent"/>
        <w:rPr/>
      </w:pPr>
      <w:r>
        <w:rPr/>
        <w:t>“</w:t>
      </w:r>
      <w:r>
        <w:rPr/>
        <w:t>Non-Firm” means, with respect to a Transaction, that delivery or receipt of the Product may be interrupted for any reason or for no reason, without liability on the part of either Party.</w:t>
      </w:r>
    </w:p>
    <w:p>
      <w:pPr>
        <w:pStyle w:val="BodyTextFirstIndent"/>
        <w:rPr/>
      </w:pPr>
      <w:r>
        <w:rPr/>
        <w:t>“</w:t>
      </w:r>
      <w:r>
        <w:rPr/>
        <w:t>System Firm” means that the Product will be supplied from the owned or controlled generation or pre-existing purchased power assets of the system specified in the Transaction (the “System”) with non-firm transmission to and from the Delivery Point, unless a different Transmission Contingency is specified in a Transaction.  Seller’s failure to deliver shall be excused:  (i) by an event or circumstance which prevents Seller from performing its obligations, which event or circumstance was not anticipated as of the date the Transaction was agreed to, which is not within the reasonable control of, or the result of the negligence of, the Seller; (ii) by Buyer’s failure to perform; (iii) to the extent necessary to preserve the integrity of, or prevent or limit any instability on, the System; (iv) to the extent the System or the control area or reliability council within which the System operates declares an emergency condition, as determined in the system’s, or the control area’s, or reliability council’s reasonable judgment; or (v) by the interruption or curtailment of transmission to the Delivery Point or by the occurrence of any Transmission Contingency specified in a Transaction as excusing Seller’s performance.  Buyer’s failure to receive shall be excused (i) by Force Majeure; (ii) by Seller’s failure to perform, or (iii) by the interruption or curtailment of transmission from the Delivery Point or by the occurrence of any Transmission Contingency specified in a Transaction as excusing Buyer’s performance.  In any of such events, neither party shall be liable to the other for any damages, including any amounts determined pursuant to Article Four.</w:t>
      </w:r>
    </w:p>
    <w:p>
      <w:pPr>
        <w:pStyle w:val="BodyTextFirstIndent"/>
        <w:rPr/>
      </w:pPr>
      <w:r>
        <w:rPr/>
        <w:t>“</w:t>
      </w:r>
      <w:r>
        <w:rPr/>
        <w:t>Transmission Contingent” means, with respect to a Transaction, that the performance of either Seller or Buyer (as specified in the Transaction) shall be excused, and no damages shall be payable including any amounts determined pursuant to Article Four, if the transmission for such Transaction is unavailable or interrupted or curtailed for any reason, at any time, anywhere from the Seller’s proposed generating source to the Buyer’s proposed ultimate sink, regardless of whether transmission, if any, that such Party is attempting to secure and/or has purchased for the Product is firm or non-firm.  If the transmission (whether firm or non-firm) that Seller or Buyer is attempting to secure is from source to sink is unavailable, this contingency excuses performance for the entire Transaction.  If the transmission (whether firm or non-firm) that Seller or Buyer has secured from source to sink is interrupted or curtailed for any reason, this contingency excuses performance for the duration of the interruption or curtailment notwithstanding the provisions of the definition of “Force Majeure” in Article 1.23 to the contrary.</w:t>
      </w:r>
    </w:p>
    <w:p>
      <w:pPr>
        <w:pStyle w:val="BodyTextFirstIndent"/>
        <w:rPr/>
      </w:pPr>
      <w:r>
        <w:rPr/>
        <w:t>“</w:t>
      </w:r>
      <w:r>
        <w:rPr/>
        <w:t xml:space="preserve">Unit Firm” means, with respect to a Transaction, that the Product subject to the Transaction is intended to be supplied from a generation asset or assets specified in the Transaction.  Seller’s failure to deliver under a “Unit Firm” Transaction shall be excused:  (i) if the specified generation asset(s) are unavailable as a result of a Forced Outage (as defined in the NERC Generating Unit Availability Data System (GADS) Forced Outage reporting guidelines) or (ii)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(iii) by Buyer’s failure to perform.  In any of such events, Seller shall not be liable to Buyer for any damages, including any amounts determined pursuant to Article Four.  </w:t>
      </w:r>
      <w:r>
        <w:br w:type="page"/>
      </w:r>
    </w:p>
    <w:p>
      <w:pPr>
        <w:pStyle w:val="Title-Right"/>
        <w:rPr>
          <w:b w:val="false"/>
        </w:rPr>
      </w:pPr>
      <w:r>
        <w:rPr/>
        <w:t>EXHIBIT A</w:t>
      </w:r>
      <w:r>
        <w:fldChar w:fldCharType="begin"/>
      </w:r>
      <w:r>
        <w:rPr/>
        <w:instrText xml:space="preserve"> TC "EXHIBIT A:  CONFIRMATION LETTER" \l 1 </w:instrText>
      </w:r>
      <w:r>
        <w:rPr/>
        <w:fldChar w:fldCharType="separate"/>
      </w:r>
      <w:r>
        <w:rPr/>
      </w:r>
      <w:r>
        <w:rPr/>
        <w:fldChar w:fldCharType="end"/>
      </w:r>
      <w:bookmarkStart w:id="58" w:name="__RefHeading___Toc476669086"/>
      <w:bookmarkEnd w:id="58"/>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__________________________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Product:  </w:t>
      </w:r>
    </w:p>
    <w:p>
      <w:pPr>
        <w:pStyle w:val="BodyText"/>
        <w:rPr/>
      </w:pPr>
      <w:r>
        <w:rPr>
          <w:rFonts w:eastAsia="Typographic Ext" w:cs="Typographic Ext" w:ascii="Typographic Ext" w:hAnsi="Typographic Ext"/>
        </w:rPr>
        <w:sym w:font="Typographic Ext" w:char="f03a"/>
      </w:r>
      <w:r>
        <w:rPr/>
        <w:tab/>
        <w:t>Into _________________, Seller’s Daily Choice</w:t>
      </w:r>
    </w:p>
    <w:p>
      <w:pPr>
        <w:pStyle w:val="BodyText"/>
        <w:rPr/>
      </w:pPr>
      <w:r>
        <w:rPr>
          <w:rFonts w:eastAsia="Typographic Ext" w:cs="Typographic Ext" w:ascii="Typographic Ext" w:hAnsi="Typographic Ext"/>
        </w:rPr>
        <w:sym w:font="Typographic Ext" w:char="f03a"/>
      </w:r>
      <w:r>
        <w:rPr/>
        <w:tab/>
        <w:t>Firm (LD)</w:t>
      </w:r>
    </w:p>
    <w:p>
      <w:pPr>
        <w:pStyle w:val="BodyText"/>
        <w:rPr/>
      </w:pPr>
      <w:r>
        <w:rPr>
          <w:rFonts w:eastAsia="Typographic Ext" w:cs="Typographic Ext" w:ascii="Typographic Ext" w:hAnsi="Typographic Ext"/>
        </w:rPr>
        <w:sym w:font="Typographic Ext" w:char="f03a"/>
      </w:r>
      <w:r>
        <w:rPr/>
        <w:tab/>
        <w:t>Firm (No Force Majeure)</w:t>
      </w:r>
    </w:p>
    <w:p>
      <w:pPr>
        <w:pStyle w:val="BodyText"/>
        <w:rPr/>
      </w:pPr>
      <w:r>
        <w:rPr>
          <w:rFonts w:eastAsia="Typographic Ext" w:cs="Typographic Ext" w:ascii="Typographic Ext" w:hAnsi="Typographic Ext"/>
        </w:rPr>
        <w:sym w:font="Typographic Ext" w:char="f03a"/>
      </w:r>
      <w:r>
        <w:rPr/>
        <w:tab/>
        <w:t xml:space="preserve">System Firm </w:t>
      </w:r>
    </w:p>
    <w:p>
      <w:pPr>
        <w:pStyle w:val="blockindentwline"/>
        <w:rPr/>
      </w:pPr>
      <w:r>
        <w:rPr/>
        <w:t xml:space="preserve">(Specify System:  </w:t>
      </w:r>
      <w:r>
        <w:rPr>
          <w:u w:val="single"/>
        </w:rPr>
        <w:tab/>
      </w:r>
      <w:r>
        <w:rPr/>
        <w:t>)</w:t>
      </w:r>
    </w:p>
    <w:p>
      <w:pPr>
        <w:pStyle w:val="BodyText"/>
        <w:rPr/>
      </w:pPr>
      <w:r>
        <w:rPr>
          <w:rFonts w:eastAsia="Typographic Ext" w:cs="Typographic Ext" w:ascii="Typographic Ext" w:hAnsi="Typographic Ext"/>
        </w:rPr>
        <w:sym w:font="Typographic Ext" w:char="f03a"/>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rFonts w:eastAsia="Typographic Ext" w:cs="Typographic Ext" w:ascii="Typographic Ext" w:hAnsi="Typographic Ext"/>
        </w:rPr>
        <w:sym w:font="Typographic Ext" w:char="f03a"/>
      </w:r>
      <w:r>
        <w:rPr/>
        <w:tab/>
        <w:t xml:space="preserve">Other  </w:t>
      </w:r>
      <w:r>
        <w:rPr>
          <w:u w:val="single"/>
        </w:rPr>
        <w:tab/>
      </w:r>
    </w:p>
    <w:p>
      <w:pPr>
        <w:pStyle w:val="BodyText"/>
        <w:rPr/>
      </w:pPr>
      <w:r>
        <w:rPr>
          <w:rFonts w:eastAsia="Typographic Ext" w:cs="Typographic Ext" w:ascii="Typographic Ext" w:hAnsi="Typographic Ext"/>
        </w:rPr>
        <w:sym w:font="Typographic Ext" w:char="f03a"/>
      </w:r>
      <w:r>
        <w:rPr/>
        <w:tab/>
        <w:t>Transmission Contingency (If not marked, no transmission contingency)</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rFonts w:eastAsia="Typographic Ext" w:cs="Typographic Ext" w:ascii="Typographic Ext" w:hAnsi="Typographic Ext"/>
        </w:rPr>
        <w:sym w:font="Typographic Ext" w:char="f03a"/>
      </w:r>
      <w:r>
        <w:rPr/>
        <w:tab/>
        <w:t>FT-Contract Path Contingency</w:t>
        <w:tab/>
      </w:r>
      <w:r>
        <w:rPr>
          <w:rFonts w:eastAsia="Typographic Ext" w:cs="Typographic Ext" w:ascii="Typographic Ext" w:hAnsi="Typographic Ext"/>
        </w:rPr>
        <w:sym w:font="Typographic Ext" w:char="f03a"/>
      </w:r>
      <w:r>
        <w:rPr/>
        <w:tab/>
        <w:t>Seller</w:t>
        <w:tab/>
      </w:r>
      <w:r>
        <w:rPr>
          <w:rFonts w:eastAsia="Typographic Ext" w:cs="Typographic Ext" w:ascii="Typographic Ext" w:hAnsi="Typographic Ext"/>
        </w:rPr>
        <w:sym w:font="Typographic Ext" w:char="f03a"/>
      </w:r>
      <w:r>
        <w:rPr/>
        <w:tab/>
        <w:t xml:space="preserve">Buyer </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rFonts w:eastAsia="Typographic Ext" w:cs="Typographic Ext" w:ascii="Typographic Ext" w:hAnsi="Typographic Ext"/>
        </w:rPr>
        <w:sym w:font="Typographic Ext" w:char="f03a"/>
      </w:r>
      <w:r>
        <w:rPr/>
        <w:tab/>
        <w:t>FT-Delivery Point  Contingency</w:t>
        <w:tab/>
      </w:r>
      <w:r>
        <w:rPr>
          <w:rFonts w:eastAsia="Typographic Ext" w:cs="Typographic Ext" w:ascii="Typographic Ext" w:hAnsi="Typographic Ext"/>
        </w:rPr>
        <w:sym w:font="Typographic Ext" w:char="f03a"/>
      </w:r>
      <w:r>
        <w:rPr/>
        <w:tab/>
        <w:t>Seller</w:t>
        <w:tab/>
      </w:r>
      <w:r>
        <w:rPr>
          <w:rFonts w:eastAsia="Typographic Ext" w:cs="Typographic Ext" w:ascii="Typographic Ext" w:hAnsi="Typographic Ext"/>
        </w:rPr>
        <w:sym w:font="Typographic Ext" w:char="f03a"/>
      </w:r>
      <w:r>
        <w:rPr/>
        <w:tab/>
        <w:t>Buyer</w:t>
      </w:r>
    </w:p>
    <w:p>
      <w:pPr>
        <w:pStyle w:val="BodyText"/>
        <w:tabs>
          <w:tab w:val="clear" w:pos="720"/>
          <w:tab w:val="left" w:pos="1440" w:leader="none"/>
          <w:tab w:val="left" w:pos="5040" w:leader="none"/>
          <w:tab w:val="left" w:pos="5760" w:leader="none"/>
          <w:tab w:val="left" w:pos="7200" w:leader="none"/>
          <w:tab w:val="left" w:pos="7920" w:leader="none"/>
        </w:tabs>
        <w:ind w:start="720" w:end="0"/>
        <w:rPr/>
      </w:pPr>
      <w:r>
        <w:rPr>
          <w:rFonts w:eastAsia="Typographic Ext" w:cs="Typographic Ext" w:ascii="Typographic Ext" w:hAnsi="Typographic Ext"/>
        </w:rPr>
        <w:sym w:font="Typographic Ext" w:char="f03a"/>
      </w:r>
      <w:r>
        <w:rPr/>
        <w:tab/>
        <w:t>Transmission Contingent</w:t>
        <w:tab/>
      </w:r>
      <w:r>
        <w:rPr>
          <w:rFonts w:eastAsia="Typographic Ext" w:cs="Typographic Ext" w:ascii="Typographic Ext" w:hAnsi="Typographic Ext"/>
        </w:rPr>
        <w:sym w:font="Typographic Ext" w:char="f03a"/>
      </w:r>
      <w:r>
        <w:rPr/>
        <w:tab/>
        <w:t>Seller</w:t>
        <w:tab/>
      </w:r>
      <w:r>
        <w:rPr>
          <w:rFonts w:eastAsia="Typographic Ext" w:cs="Typographic Ext" w:ascii="Typographic Ext" w:hAnsi="Typographic Ext"/>
        </w:rPr>
        <w:sym w:font="Typographic Ext" w:char="f03a"/>
      </w:r>
      <w:r>
        <w:rPr/>
        <w:tab/>
        <w:t>Buyer</w:t>
      </w:r>
    </w:p>
    <w:p>
      <w:pPr>
        <w:pStyle w:val="BodyText"/>
        <w:ind w:start="720" w:end="0"/>
        <w:rPr/>
      </w:pPr>
      <w:r>
        <w:rPr>
          <w:rFonts w:eastAsia="Typographic Ext" w:cs="Typographic Ext" w:ascii="Typographic Ext" w:hAnsi="Typographic Ext"/>
        </w:rPr>
        <w:sym w:font="Typographic Ext" w:char="f03a"/>
      </w:r>
      <w:r>
        <w:rPr/>
        <w:tab/>
        <w:t>Other transmission contingency</w:t>
      </w:r>
    </w:p>
    <w:p>
      <w:pPr>
        <w:pStyle w:val="blockindentwline"/>
        <w:rPr/>
      </w:pPr>
      <w:r>
        <w:rPr/>
        <w:t xml:space="preserve">(Specify:  </w:t>
      </w:r>
      <w:r>
        <w:rPr>
          <w:u w:val="single"/>
        </w:rPr>
        <w:tab/>
      </w:r>
      <w:r>
        <w:rPr/>
        <w:t>)</w:t>
      </w:r>
    </w:p>
    <w:p>
      <w:pPr>
        <w:pStyle w:val="blockwline"/>
        <w:rPr/>
      </w:pPr>
      <w:r>
        <w:rPr/>
        <w:t xml:space="preserve">Contract 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rPr/>
      </w:pPr>
      <w:r>
        <w:rPr/>
        <w:t xml:space="preserve">Energy Price:  </w:t>
      </w:r>
      <w:r>
        <w:rPr>
          <w:u w:val="single"/>
        </w:rPr>
        <w:tab/>
      </w:r>
    </w:p>
    <w:p>
      <w:pPr>
        <w:pStyle w:val="blockwline"/>
        <w:rPr/>
      </w:pPr>
      <w:r>
        <w:rPr/>
        <w:t xml:space="preserve">Other Charges:  </w:t>
      </w:r>
      <w:r>
        <w:rPr>
          <w:u w:val="single"/>
        </w:rPr>
        <w:tab/>
      </w:r>
      <w:r>
        <w:br w:type="page"/>
      </w:r>
    </w:p>
    <w:p>
      <w:pPr>
        <w:pStyle w:val="Normal"/>
        <w:rPr/>
      </w:pPr>
      <w:r>
        <w:rPr/>
        <w:t>Confirmation Letter</w:t>
      </w:r>
    </w:p>
    <w:p>
      <w:pPr>
        <w:pStyle w:val="Normal"/>
        <w:rPr/>
      </w:pPr>
      <w:r>
        <w:rPr/>
        <w:t>Page  2</w:t>
      </w:r>
    </w:p>
    <w:p>
      <w:pPr>
        <w:pStyle w:val="Normal"/>
        <w:rPr/>
      </w:pPr>
      <w:r>
        <w:rPr/>
      </w:r>
    </w:p>
    <w:p>
      <w:pPr>
        <w:pStyle w:val="Normal"/>
        <w:rPr/>
      </w:pPr>
      <w:r>
        <w:rPr/>
      </w:r>
    </w:p>
    <w:p>
      <w:pPr>
        <w:pStyle w:val="blockwline"/>
        <w:rPr/>
      </w:pPr>
      <w:r>
        <w:rPr/>
        <w:t xml:space="preserve">Delivery Period:  </w:t>
      </w:r>
      <w:r>
        <w:rPr>
          <w:u w:val="single"/>
        </w:rPr>
        <w:tab/>
      </w:r>
    </w:p>
    <w:p>
      <w:pPr>
        <w:pStyle w:val="blockwline"/>
        <w:rPr/>
      </w:pPr>
      <w:r>
        <w:rPr/>
        <w:t xml:space="preserve">Special Conditions: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rPr/>
      </w:pPr>
      <w:r>
        <w:rPr/>
        <w:t xml:space="preserve">Option Seller:  </w:t>
      </w:r>
      <w:r>
        <w:rPr>
          <w:u w:val="single"/>
        </w:rPr>
        <w:tab/>
      </w:r>
    </w:p>
    <w:p>
      <w:pPr>
        <w:pStyle w:val="blockindentwline"/>
        <w:rPr/>
      </w:pPr>
      <w:r>
        <w:rPr/>
        <w:t xml:space="preserve">Type of Option:  </w:t>
      </w:r>
      <w:r>
        <w:rPr>
          <w:u w:val="single"/>
        </w:rPr>
        <w:tab/>
      </w:r>
    </w:p>
    <w:p>
      <w:pPr>
        <w:pStyle w:val="blockindentwline"/>
        <w:rPr/>
      </w:pPr>
      <w:r>
        <w:rPr/>
        <w:t xml:space="preserve">Strike Price:  </w:t>
      </w:r>
      <w:r>
        <w:rPr>
          <w:u w:val="single"/>
        </w:rPr>
        <w:tab/>
      </w:r>
    </w:p>
    <w:p>
      <w:pPr>
        <w:pStyle w:val="blockindentwline"/>
        <w:rPr/>
      </w:pPr>
      <w:r>
        <w:rPr/>
        <w:t xml:space="preserve">Premium:  </w:t>
      </w:r>
      <w:r>
        <w:rPr>
          <w:u w:val="single"/>
        </w:rPr>
        <w:tab/>
      </w:r>
    </w:p>
    <w:p>
      <w:pPr>
        <w:pStyle w:val="blockindentwline"/>
        <w:rPr/>
      </w:pPr>
      <w:r>
        <w:rPr/>
        <w:t xml:space="preserve">Exercise Period:  </w:t>
      </w:r>
      <w:r>
        <w:rPr>
          <w:u w:val="single"/>
        </w:rPr>
        <w:tab/>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Signature-dbl"/>
        <w:rPr/>
      </w:pPr>
      <w:r>
        <w:rPr/>
        <w:t>[Party A]</w:t>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p>
    <w:p>
      <w:pPr>
        <w:pStyle w:val="Normal"/>
        <w:rPr/>
      </w:pPr>
      <w:r>
        <w:rPr/>
      </w:r>
    </w:p>
    <w:p>
      <w:pPr>
        <w:pStyle w:val="Normal"/>
        <w:rPr/>
      </w:pPr>
      <w:r>
        <w:rPr/>
      </w:r>
    </w:p>
    <w:sectPr>
      <w:footerReference w:type="default" r:id="rId8"/>
      <w:footerReference w:type="first" r:id="rId9"/>
      <w:footnotePr>
        <w:numFmt w:val="decimal"/>
      </w:footnotePr>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 w:name="Typographic Ext">
    <w:charset w:val="0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sz w:val="16"/>
      </w:rPr>
    </w:pPr>
    <w:r>
      <w:rPr>
        <w:i/>
        <w:sz w:val="16"/>
      </w:rPr>
      <w:t>Version 2.1 3/7/00 sponsored by the Edison Electric Institute and the National Energy Marketers Association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Version 2.1 3/7/00 sponsored by the Edison Electric Institute and the National Energy Marketers Association</w:t>
    </w: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Version 2.1 3/7/00 sponsored by the Edison Electric Institute and the National Energy Marketers Association</w:t>
    </w:r>
    <w:r>
      <w:rP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20"/>
        <w:ind w:hanging="360" w:start="360" w:end="0"/>
        <w:rPr/>
      </w:pPr>
      <w:r>
        <w:rPr>
          <w:rStyle w:val="FootnoteCharacters"/>
        </w:rPr>
        <w:footnoteRef/>
      </w:r>
      <w:r>
        <w:rPr/>
        <w:t xml:space="preserve"> </w:t>
      </w:r>
      <w:r>
        <w:rPr/>
        <w:tab/>
        <w:t>Cite the state enabling and other relevant statutes applicable to Governmental Entity or Public Power System.</w:t>
      </w:r>
    </w:p>
  </w:footnote>
  <w:footnote w:id="3">
    <w:p>
      <w:pPr>
        <w:pStyle w:val="FootnoteText"/>
        <w:spacing w:before="0" w:after="120"/>
        <w:ind w:hanging="360" w:start="360" w:end="0"/>
        <w:rPr/>
      </w:pPr>
      <w:r>
        <w:rPr>
          <w:rStyle w:val="FootnoteCharacters"/>
        </w:rPr>
        <w:footnoteRef/>
      </w:r>
      <w:r>
        <w:rPr/>
        <w:t xml:space="preserve"> </w:t>
      </w:r>
      <w:r>
        <w:rPr/>
        <w:tab/>
        <w:t>Insert relevant state for Governmental Entity or Public Power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rPr>
  </w:style>
  <w:style w:type="paragraph" w:styleId="TOC2">
    <w:name w:val="toc 2"/>
    <w:basedOn w:val="Normal"/>
    <w:next w:val="Normal"/>
    <w:pPr>
      <w:tabs>
        <w:tab w:val="clear" w:pos="720"/>
        <w:tab w:val="left" w:pos="1440" w:leader="none"/>
        <w:tab w:val="right" w:pos="9360" w:leader="dot"/>
      </w:tabs>
      <w:ind w:hanging="720" w:start="1440" w:end="720"/>
    </w:pPr>
    <w:rPr>
      <w:lang w:val="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2000-03-03T03:51:00Z</dcterms:created>
  <dc:creator>WordProcessing</dc:creator>
  <dc:description/>
  <dc:language>en-CA</dc:language>
  <cp:lastModifiedBy>xxxx</cp:lastModifiedBy>
  <cp:lastPrinted>2000-03-03T01:06:00Z</cp:lastPrinted>
  <dcterms:modified xsi:type="dcterms:W3CDTF">2000-03-03T03:51:00Z</dcterms:modified>
  <cp:revision>2</cp:revision>
  <dc:subject/>
  <dc:title>  </dc:title>
</cp:coreProperties>
</file>