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oter1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2.xml" ContentType="application/vnd.openxmlformats-officedocument.wordprocessingml.footer+xml"/>
  <Override PartName="/word/header5.xml" ContentType="application/vnd.openxmlformats-officedocument.wordprocessingml.header+xml"/>
  <Override PartName="/word/header1.xml" ContentType="application/vnd.openxmlformats-officedocument.wordprocessingml.header+xml"/>
  <Override PartName="/word/header10.xml" ContentType="application/vnd.openxmlformats-officedocument.wordprocessingml.header+xml"/>
  <Override PartName="/word/settings.xml" ContentType="application/vnd.openxmlformats-officedocument.wordprocessingml.settings+xml"/>
  <Override PartName="/word/header7.xml" ContentType="application/vnd.openxmlformats-officedocument.wordprocessingml.header+xml"/>
  <Override PartName="/word/footer4.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media/image1.png" ContentType="image/png"/>
  <Override PartName="/word/footer8.xml" ContentType="application/vnd.openxmlformats-officedocument.wordprocessingml.footer+xml"/>
  <Override PartName="/word/theme/theme1.xml" ContentType="application/vnd.openxmlformats-officedocument.theme+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8522" w:type="dxa"/>
        <w:jc w:val="start"/>
        <w:tblInd w:w="0" w:type="dxa"/>
        <w:tblLayout w:type="fixed"/>
        <w:tblCellMar>
          <w:top w:w="0" w:type="dxa"/>
          <w:start w:w="108" w:type="dxa"/>
          <w:bottom w:w="0" w:type="dxa"/>
          <w:end w:w="108" w:type="dxa"/>
        </w:tblCellMar>
      </w:tblPr>
      <w:tblGrid>
        <w:gridCol w:w="8522"/>
      </w:tblGrid>
      <w:tr>
        <w:trPr>
          <w:trHeight w:val="2410" w:hRule="atLeast"/>
        </w:trPr>
        <w:tc>
          <w:tcPr>
            <w:tcW w:w="8522" w:type="dxa"/>
            <w:tcBorders/>
          </w:tcPr>
          <w:p>
            <w:pPr>
              <w:pStyle w:val="Heading"/>
              <w:rPr>
                <w:sz w:val="24"/>
              </w:rPr>
            </w:pPr>
            <w:r>
              <w:rPr>
                <w:sz w:val="24"/>
              </w:rPr>
              <w:t>DATED</w:t>
              <w:tab/>
              <w:tab/>
              <w:t>1999</w:t>
            </w:r>
          </w:p>
          <w:p>
            <w:pPr>
              <w:pStyle w:val="Normal"/>
              <w:jc w:val="center"/>
              <w:rPr>
                <w:sz w:val="24"/>
              </w:rPr>
            </w:pPr>
            <w:r>
              <w:rPr>
                <w:sz w:val="24"/>
              </w:rPr>
            </w:r>
          </w:p>
        </w:tc>
      </w:tr>
      <w:tr>
        <w:trPr>
          <w:trHeight w:val="714" w:hRule="atLeast"/>
        </w:trPr>
        <w:tc>
          <w:tcPr>
            <w:tcW w:w="8522" w:type="dxa"/>
            <w:tcBorders/>
          </w:tcPr>
          <w:p>
            <w:pPr>
              <w:pStyle w:val="Normal"/>
              <w:tabs>
                <w:tab w:val="clear" w:pos="720"/>
                <w:tab w:val="left" w:pos="0" w:leader="none"/>
                <w:tab w:val="left" w:pos="567" w:leader="none"/>
              </w:tabs>
              <w:spacing w:lineRule="auto" w:line="480"/>
              <w:jc w:val="center"/>
              <w:rPr>
                <w:b/>
                <w:sz w:val="24"/>
              </w:rPr>
            </w:pPr>
            <w:r>
              <w:rPr>
                <w:b/>
                <w:sz w:val="24"/>
              </w:rPr>
              <w:t>(1) ENRON CAPITAL &amp; TRADE RESOURCES LIMITED</w:t>
            </w:r>
          </w:p>
        </w:tc>
      </w:tr>
      <w:tr>
        <w:trPr>
          <w:trHeight w:val="710" w:hRule="atLeast"/>
        </w:trPr>
        <w:tc>
          <w:tcPr>
            <w:tcW w:w="8522" w:type="dxa"/>
            <w:tcBorders/>
          </w:tcPr>
          <w:p>
            <w:pPr>
              <w:pStyle w:val="Normal"/>
              <w:spacing w:lineRule="auto" w:line="480"/>
              <w:jc w:val="center"/>
              <w:rPr>
                <w:b/>
                <w:sz w:val="24"/>
              </w:rPr>
            </w:pPr>
            <w:r>
              <w:rPr>
                <w:b/>
                <w:sz w:val="24"/>
              </w:rPr>
              <w:t>and</w:t>
            </w:r>
          </w:p>
        </w:tc>
      </w:tr>
      <w:tr>
        <w:trPr>
          <w:trHeight w:val="1820" w:hRule="atLeast"/>
        </w:trPr>
        <w:tc>
          <w:tcPr>
            <w:tcW w:w="8522" w:type="dxa"/>
            <w:tcBorders/>
          </w:tcPr>
          <w:p>
            <w:pPr>
              <w:pStyle w:val="Normal"/>
              <w:tabs>
                <w:tab w:val="clear" w:pos="720"/>
                <w:tab w:val="left" w:pos="0" w:leader="none"/>
              </w:tabs>
              <w:spacing w:lineRule="auto" w:line="480"/>
              <w:jc w:val="center"/>
              <w:rPr>
                <w:b/>
                <w:sz w:val="24"/>
              </w:rPr>
            </w:pPr>
            <w:r>
              <w:rPr>
                <w:b/>
                <w:sz w:val="24"/>
              </w:rPr>
              <w:t>(2) NATIONAL POWER PLC</w:t>
            </w:r>
          </w:p>
        </w:tc>
      </w:tr>
      <w:tr>
        <w:trPr/>
        <w:tc>
          <w:tcPr>
            <w:tcW w:w="8522" w:type="dxa"/>
            <w:tcBorders/>
          </w:tcPr>
          <w:p>
            <w:pPr>
              <w:pStyle w:val="Normal"/>
              <w:snapToGrid w:val="false"/>
              <w:rPr>
                <w:b/>
                <w:sz w:val="24"/>
                <w:lang w:val="en-CA"/>
              </w:rPr>
            </w:pPr>
            <w:r>
              <w:rPr>
                <w:b/>
                <w:sz w:val="24"/>
                <w:lang w:val="en-CA"/>
              </w:rPr>
              <mc:AlternateContent>
                <mc:Choice Requires="wps">
                  <w:drawing>
                    <wp:anchor behindDoc="0" distT="0" distB="0" distL="114935" distR="114935" simplePos="0" locked="0" layoutInCell="0" allowOverlap="1" relativeHeight="14">
                      <wp:simplePos x="0" y="0"/>
                      <wp:positionH relativeFrom="margin">
                        <wp:posOffset>1451610</wp:posOffset>
                      </wp:positionH>
                      <wp:positionV relativeFrom="paragraph">
                        <wp:posOffset>46990</wp:posOffset>
                      </wp:positionV>
                      <wp:extent cx="2377440" cy="0"/>
                      <wp:effectExtent l="0" t="6350" r="0" b="6350"/>
                      <wp:wrapTopAndBottom/>
                      <wp:docPr id="1" name=""/>
                      <a:graphic xmlns:a="http://schemas.openxmlformats.org/drawingml/2006/main">
                        <a:graphicData uri="http://schemas.microsoft.com/office/word/2010/wordprocessingShape">
                          <wps:wsp>
                            <wps:cNvSpPr/>
                            <wps:spPr>
                              <a:xfrm>
                                <a:off x="0" y="0"/>
                                <a:ext cx="2377440" cy="0"/>
                              </a:xfrm>
                              <a:prstGeom prst="line">
                                <a:avLst/>
                              </a:prstGeom>
                              <a:ln w="12600">
                                <a:solidFill>
                                  <a:srgbClr val="000000"/>
                                </a:solidFill>
                                <a:miter/>
                              </a:ln>
                            </wps:spPr>
                            <wps:style>
                              <a:lnRef idx="0"/>
                              <a:fillRef idx="0"/>
                              <a:effectRef idx="0"/>
                              <a:fontRef idx="minor"/>
                            </wps:style>
                            <wps:bodyPr/>
                          </wps:wsp>
                        </a:graphicData>
                      </a:graphic>
                    </wp:anchor>
                  </w:drawing>
                </mc:Choice>
                <mc:Fallback>
                  <w:pict>
                    <v:line id="shape_0" from="114.3pt,3.7pt" to="301.45pt,3.7pt" stroked="t" o:allowincell="f" style="position:absolute;mso-position-horizontal-relative:margin">
                      <v:stroke color="black" weight="12600" joinstyle="miter" endcap="flat"/>
                      <v:fill o:detectmouseclick="t" on="false"/>
                      <w10:wrap type="topAndBottom"/>
                    </v:line>
                  </w:pict>
                </mc:Fallback>
              </mc:AlternateContent>
              <mc:AlternateContent>
                <mc:Choice Requires="wps">
                  <w:drawing>
                    <wp:anchor behindDoc="0" distT="0" distB="0" distL="114935" distR="114935" simplePos="0" locked="0" layoutInCell="0" allowOverlap="1" relativeHeight="15">
                      <wp:simplePos x="0" y="0"/>
                      <wp:positionH relativeFrom="margin">
                        <wp:posOffset>1451610</wp:posOffset>
                      </wp:positionH>
                      <wp:positionV relativeFrom="paragraph">
                        <wp:posOffset>445770</wp:posOffset>
                      </wp:positionV>
                      <wp:extent cx="2377440" cy="0"/>
                      <wp:effectExtent l="0" t="6350" r="0" b="6350"/>
                      <wp:wrapTopAndBottom/>
                      <wp:docPr id="2" name=""/>
                      <a:graphic xmlns:a="http://schemas.openxmlformats.org/drawingml/2006/main">
                        <a:graphicData uri="http://schemas.microsoft.com/office/word/2010/wordprocessingShape">
                          <wps:wsp>
                            <wps:cNvSpPr/>
                            <wps:spPr>
                              <a:xfrm>
                                <a:off x="0" y="0"/>
                                <a:ext cx="2377440" cy="0"/>
                              </a:xfrm>
                              <a:prstGeom prst="line">
                                <a:avLst/>
                              </a:prstGeom>
                              <a:ln w="12600">
                                <a:solidFill>
                                  <a:srgbClr val="000000"/>
                                </a:solidFill>
                                <a:miter/>
                              </a:ln>
                            </wps:spPr>
                            <wps:style>
                              <a:lnRef idx="0"/>
                              <a:fillRef idx="0"/>
                              <a:effectRef idx="0"/>
                              <a:fontRef idx="minor"/>
                            </wps:style>
                            <wps:bodyPr/>
                          </wps:wsp>
                        </a:graphicData>
                      </a:graphic>
                    </wp:anchor>
                  </w:drawing>
                </mc:Choice>
                <mc:Fallback>
                  <w:pict>
                    <v:line id="shape_0" from="114.3pt,35.1pt" to="301.45pt,35.1pt" stroked="t" o:allowincell="f" style="position:absolute;mso-position-horizontal-relative:margin">
                      <v:stroke color="black" weight="12600" joinstyle="miter" endcap="flat"/>
                      <v:fill o:detectmouseclick="t" on="false"/>
                      <w10:wrap type="topAndBottom"/>
                    </v:line>
                  </w:pict>
                </mc:Fallback>
              </mc:AlternateContent>
            </w:r>
          </w:p>
          <w:p>
            <w:pPr>
              <w:pStyle w:val="Normal"/>
              <w:jc w:val="center"/>
              <w:rPr>
                <w:b/>
                <w:sz w:val="24"/>
              </w:rPr>
            </w:pPr>
            <w:r>
              <w:rPr>
                <w:b/>
                <w:sz w:val="24"/>
              </w:rPr>
              <w:t>MASTER NETTING AGREEMENT</w:t>
            </w:r>
          </w:p>
          <w:p>
            <w:pPr>
              <w:pStyle w:val="Normal"/>
              <w:rPr>
                <w:b/>
                <w:sz w:val="24"/>
              </w:rPr>
            </w:pPr>
            <w:r>
              <w:rPr>
                <w:b/>
                <w:sz w:val="24"/>
              </w:rPr>
            </w:r>
          </w:p>
          <w:p>
            <w:pPr>
              <w:pStyle w:val="Normal"/>
              <w:rPr>
                <w:b/>
                <w:sz w:val="24"/>
              </w:rPr>
            </w:pPr>
            <w:r>
              <w:rPr>
                <w:b/>
                <w:sz w:val="24"/>
              </w:rPr>
            </w:r>
          </w:p>
        </w:tc>
      </w:tr>
      <w:tr>
        <w:trPr>
          <w:trHeight w:val="4687" w:hRule="atLeast"/>
        </w:trPr>
        <w:tc>
          <w:tcPr>
            <w:tcW w:w="8522" w:type="dxa"/>
            <w:tcBorders/>
          </w:tcPr>
          <w:p>
            <w:pPr>
              <w:pStyle w:val="Normal"/>
              <w:snapToGrid w:val="false"/>
              <w:jc w:val="center"/>
              <w:rPr>
                <w:b/>
                <w:sz w:val="24"/>
              </w:rPr>
            </w:pPr>
            <w:r>
              <w:rPr>
                <w:b/>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drawing>
                <wp:inline distT="0" distB="0" distL="0" distR="0">
                  <wp:extent cx="1158875" cy="107569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2"/>
                          <a:srcRect l="-39" t="-39" r="-39" b="-39"/>
                          <a:stretch>
                            <a:fillRect/>
                          </a:stretch>
                        </pic:blipFill>
                        <pic:spPr bwMode="auto">
                          <a:xfrm>
                            <a:off x="0" y="0"/>
                            <a:ext cx="1158875" cy="1075690"/>
                          </a:xfrm>
                          <a:prstGeom prst="rect">
                            <a:avLst/>
                          </a:prstGeom>
                          <a:noFill/>
                        </pic:spPr>
                      </pic:pic>
                    </a:graphicData>
                  </a:graphic>
                </wp:inline>
              </w:drawing>
            </w:r>
          </w:p>
          <w:p>
            <w:pPr>
              <w:pStyle w:val="Normal"/>
              <w:jc w:val="center"/>
              <w:rPr>
                <w:sz w:val="24"/>
              </w:rPr>
            </w:pPr>
            <w:r>
              <w:rPr>
                <w:sz w:val="24"/>
              </w:rPr>
            </w:r>
          </w:p>
        </w:tc>
      </w:tr>
      <w:tr>
        <w:trPr>
          <w:trHeight w:val="1839" w:hRule="atLeast"/>
        </w:trPr>
        <w:tc>
          <w:tcPr>
            <w:tcW w:w="8522" w:type="dxa"/>
            <w:tcBorders/>
          </w:tcPr>
          <w:p>
            <w:pPr>
              <w:pStyle w:val="Normal"/>
              <w:jc w:val="center"/>
              <w:rPr>
                <w:sz w:val="24"/>
              </w:rPr>
            </w:pPr>
            <w:r>
              <w:rPr>
                <w:sz w:val="24"/>
              </w:rPr>
              <w:t>Enron Europe Limited</w:t>
            </w:r>
          </w:p>
          <w:p>
            <w:pPr>
              <w:pStyle w:val="Normal"/>
              <w:jc w:val="center"/>
              <w:rPr>
                <w:sz w:val="24"/>
              </w:rPr>
            </w:pPr>
            <w:r>
              <w:rPr>
                <w:sz w:val="24"/>
              </w:rPr>
              <w:t>Four Millbank</w:t>
            </w:r>
          </w:p>
          <w:p>
            <w:pPr>
              <w:pStyle w:val="Normal"/>
              <w:jc w:val="center"/>
              <w:rPr>
                <w:sz w:val="24"/>
              </w:rPr>
            </w:pPr>
            <w:r>
              <w:rPr>
                <w:sz w:val="24"/>
              </w:rPr>
              <w:t>London, SW1P 3ET</w:t>
            </w:r>
          </w:p>
        </w:tc>
      </w:tr>
      <w:tr>
        <w:trPr>
          <w:trHeight w:val="416" w:hRule="atLeast"/>
        </w:trPr>
        <w:tc>
          <w:tcPr>
            <w:tcW w:w="8522" w:type="dxa"/>
            <w:tcBorders/>
          </w:tcPr>
          <w:p>
            <w:pPr>
              <w:pStyle w:val="Normal"/>
              <w:jc w:val="center"/>
              <w:rPr>
                <w:sz w:val="24"/>
              </w:rPr>
            </w:pPr>
            <w:r>
              <w:rPr>
                <w:sz w:val="24"/>
              </w:rPr>
              <w:t>Ref. PAS</w:t>
            </w:r>
          </w:p>
        </w:tc>
      </w:tr>
    </w:tbl>
    <w:p>
      <w:pPr>
        <w:sectPr>
          <w:headerReference w:type="default" r:id="rId3"/>
          <w:headerReference w:type="first" r:id="rId4"/>
          <w:footerReference w:type="default" r:id="rId5"/>
          <w:footerReference w:type="first" r:id="rId6"/>
          <w:type w:val="nextPage"/>
          <w:pgSz w:w="11906" w:h="16838"/>
          <w:pgMar w:left="1800" w:right="1800" w:gutter="0" w:header="720" w:top="1440" w:footer="720" w:bottom="1440"/>
          <w:pgNumType w:fmt="decimal"/>
          <w:formProt w:val="false"/>
          <w:titlePg/>
          <w:textDirection w:val="lrTb"/>
          <w:docGrid w:type="default" w:linePitch="360" w:charSpace="0"/>
        </w:sectPr>
      </w:pPr>
    </w:p>
    <w:p>
      <w:pPr>
        <w:pStyle w:val="Normal"/>
        <w:rPr>
          <w:sz w:val="24"/>
        </w:rPr>
      </w:pPr>
      <w:r>
        <w:rPr>
          <w:sz w:val="24"/>
        </w:rPr>
      </w:r>
    </w:p>
    <w:p>
      <w:pPr>
        <w:pStyle w:val="Heading"/>
        <w:rPr>
          <w:sz w:val="24"/>
        </w:rPr>
      </w:pPr>
      <w:r>
        <w:rPr>
          <w:sz w:val="24"/>
        </w:rPr>
        <w:t>TABLE OF CONTENTS</w:t>
      </w:r>
    </w:p>
    <w:p>
      <w:pPr>
        <w:pStyle w:val="Normal"/>
        <w:rPr>
          <w:sz w:val="24"/>
        </w:rPr>
      </w:pPr>
      <w:r>
        <w:rPr>
          <w:sz w:val="24"/>
        </w:rPr>
      </w:r>
    </w:p>
    <w:p>
      <w:pPr>
        <w:pStyle w:val="Normal"/>
        <w:rPr>
          <w:sz w:val="24"/>
        </w:rPr>
      </w:pPr>
      <w:r>
        <w:rPr>
          <w:sz w:val="24"/>
        </w:rPr>
      </w:r>
    </w:p>
    <w:sdt>
      <w:sdtPr>
        <w:docPartObj>
          <w:docPartGallery w:val="Table of Contents"/>
          <w:docPartUnique w:val="true"/>
        </w:docPartObj>
      </w:sdtPr>
      <w:sdtContent>
        <w:p>
          <w:pPr>
            <w:pStyle w:val="TOC1"/>
            <w:widowControl w:val="false"/>
            <w:spacing w:before="240" w:after="0"/>
            <w:rPr>
              <w:caps/>
              <w:sz w:val="22"/>
              <w:lang w:val="en-CA"/>
            </w:rPr>
          </w:pPr>
          <w:r>
            <w:fldChar w:fldCharType="begin"/>
          </w:r>
          <w:r>
            <w:rPr>
              <w:caps/>
              <w:sz w:val="22"/>
              <w:lang w:val="en-CA"/>
            </w:rPr>
            <w:instrText xml:space="preserve"> TOC \o "1-1" \t "Heading 3,2" </w:instrText>
          </w:r>
          <w:r>
            <w:rPr>
              <w:caps/>
              <w:sz w:val="22"/>
              <w:lang w:val="en-CA"/>
            </w:rPr>
            <w:fldChar w:fldCharType="separate"/>
          </w:r>
          <w:r>
            <w:rPr>
              <w:caps/>
              <w:sz w:val="22"/>
              <w:lang w:val="en-CA"/>
            </w:rPr>
            <w:t>1.</w:t>
            <w:tab/>
            <w:t>Interpretation</w:t>
            <w:tab/>
          </w:r>
          <w:hyperlink w:anchor="__RefHeading___Toc438630976">
            <w:r>
              <w:rPr>
                <w:rStyle w:val="IndexLink"/>
                <w:caps/>
                <w:sz w:val="22"/>
                <w:lang w:val="en-CA"/>
              </w:rPr>
              <w:t>3</w:t>
            </w:r>
          </w:hyperlink>
        </w:p>
        <w:p>
          <w:pPr>
            <w:pStyle w:val="TOC1"/>
            <w:rPr/>
          </w:pPr>
          <w:r>
            <w:rPr/>
            <w:t>2.</w:t>
            <w:tab/>
            <w:t>Scope</w:t>
            <w:tab/>
          </w:r>
          <w:hyperlink w:anchor="__RefHeading___Toc438630977">
            <w:r>
              <w:rPr>
                <w:rStyle w:val="IndexLink"/>
              </w:rPr>
              <w:t>6</w:t>
            </w:r>
          </w:hyperlink>
        </w:p>
        <w:p>
          <w:pPr>
            <w:pStyle w:val="TOC1"/>
            <w:rPr/>
          </w:pPr>
          <w:r>
            <w:rPr/>
            <w:t>3.</w:t>
            <w:tab/>
            <w:t>Single Agreement</w:t>
            <w:tab/>
          </w:r>
          <w:hyperlink w:anchor="__RefHeading___Toc438630978">
            <w:r>
              <w:rPr>
                <w:rStyle w:val="IndexLink"/>
              </w:rPr>
              <w:t>6</w:t>
            </w:r>
          </w:hyperlink>
        </w:p>
        <w:p>
          <w:pPr>
            <w:pStyle w:val="TOC1"/>
            <w:rPr/>
          </w:pPr>
          <w:r>
            <w:rPr/>
            <w:t>4.</w:t>
            <w:tab/>
            <w:t>Cross Default and Close-out Netting or Suspension</w:t>
            <w:tab/>
          </w:r>
          <w:hyperlink w:anchor="__RefHeading___Toc438630979">
            <w:r>
              <w:rPr>
                <w:rStyle w:val="IndexLink"/>
              </w:rPr>
              <w:t>6</w:t>
            </w:r>
          </w:hyperlink>
        </w:p>
        <w:p>
          <w:pPr>
            <w:pStyle w:val="TOC1"/>
            <w:rPr/>
          </w:pPr>
          <w:r>
            <w:rPr/>
            <w:t>5.</w:t>
            <w:tab/>
            <w:t>Set-off of Close-out Amounts</w:t>
            <w:tab/>
          </w:r>
          <w:hyperlink w:anchor="__RefHeading___Toc438630980">
            <w:r>
              <w:rPr>
                <w:rStyle w:val="IndexLink"/>
              </w:rPr>
              <w:t>7</w:t>
            </w:r>
          </w:hyperlink>
        </w:p>
        <w:p>
          <w:pPr>
            <w:pStyle w:val="TOC1"/>
            <w:rPr/>
          </w:pPr>
          <w:r>
            <w:rPr/>
            <w:t>6.</w:t>
            <w:tab/>
            <w:t>Fallback Close-out Provisions</w:t>
            <w:tab/>
          </w:r>
          <w:hyperlink w:anchor="__RefHeading___Toc438630981">
            <w:r>
              <w:rPr>
                <w:rStyle w:val="IndexLink"/>
              </w:rPr>
              <w:t>8</w:t>
            </w:r>
          </w:hyperlink>
        </w:p>
        <w:p>
          <w:pPr>
            <w:pStyle w:val="TOC1"/>
            <w:rPr/>
          </w:pPr>
          <w:r>
            <w:rPr/>
            <w:t>7.</w:t>
            <w:tab/>
            <w:t>Payment, Delivery and Nomination Netting</w:t>
            <w:tab/>
          </w:r>
          <w:hyperlink w:anchor="__RefHeading___Toc438630982">
            <w:r>
              <w:rPr>
                <w:rStyle w:val="IndexLink"/>
              </w:rPr>
              <w:t>9</w:t>
            </w:r>
          </w:hyperlink>
        </w:p>
        <w:p>
          <w:pPr>
            <w:pStyle w:val="TOC1"/>
            <w:rPr/>
          </w:pPr>
          <w:r>
            <w:rPr/>
            <w:t>8.</w:t>
            <w:tab/>
            <w:t>Representations and Warranties</w:t>
            <w:tab/>
          </w:r>
          <w:hyperlink w:anchor="__RefHeading___Toc438630983">
            <w:r>
              <w:rPr>
                <w:rStyle w:val="IndexLink"/>
              </w:rPr>
              <w:t>10</w:t>
            </w:r>
          </w:hyperlink>
        </w:p>
        <w:p>
          <w:pPr>
            <w:pStyle w:val="TOC1"/>
            <w:rPr/>
          </w:pPr>
          <w:r>
            <w:rPr/>
            <w:t>9.</w:t>
            <w:tab/>
            <w:t>Payments and Set Off</w:t>
            <w:tab/>
          </w:r>
          <w:hyperlink w:anchor="__RefHeading___Toc438630984">
            <w:r>
              <w:rPr>
                <w:rStyle w:val="IndexLink"/>
              </w:rPr>
              <w:t>11</w:t>
            </w:r>
          </w:hyperlink>
        </w:p>
        <w:p>
          <w:pPr>
            <w:pStyle w:val="TOC1"/>
            <w:rPr/>
          </w:pPr>
          <w:r>
            <w:rPr/>
            <w:t>10.</w:t>
            <w:tab/>
            <w:t>Notices</w:t>
            <w:tab/>
          </w:r>
          <w:hyperlink w:anchor="__RefHeading___Toc438630985">
            <w:r>
              <w:rPr>
                <w:rStyle w:val="IndexLink"/>
              </w:rPr>
              <w:t>11</w:t>
            </w:r>
          </w:hyperlink>
        </w:p>
        <w:p>
          <w:pPr>
            <w:pStyle w:val="TOC1"/>
            <w:rPr/>
          </w:pPr>
          <w:r>
            <w:rPr/>
            <w:t>11.</w:t>
            <w:tab/>
            <w:t>Assignment and Succession</w:t>
            <w:tab/>
          </w:r>
          <w:hyperlink w:anchor="__RefHeading___Toc438630986">
            <w:r>
              <w:rPr>
                <w:rStyle w:val="IndexLink"/>
              </w:rPr>
              <w:t>12</w:t>
            </w:r>
          </w:hyperlink>
        </w:p>
        <w:p>
          <w:pPr>
            <w:pStyle w:val="TOC1"/>
            <w:rPr/>
          </w:pPr>
          <w:r>
            <w:rPr/>
            <w:t>12.</w:t>
            <w:tab/>
            <w:t>Confidentiality</w:t>
            <w:tab/>
          </w:r>
          <w:hyperlink w:anchor="__RefHeading___Toc438630987">
            <w:r>
              <w:rPr>
                <w:rStyle w:val="IndexLink"/>
              </w:rPr>
              <w:t>12</w:t>
            </w:r>
          </w:hyperlink>
        </w:p>
        <w:p>
          <w:pPr>
            <w:pStyle w:val="TOC1"/>
            <w:rPr/>
          </w:pPr>
          <w:r>
            <w:rPr/>
            <w:t>13.</w:t>
            <w:tab/>
            <w:t>Severability</w:t>
            <w:tab/>
          </w:r>
          <w:hyperlink w:anchor="__RefHeading___Toc438630988">
            <w:r>
              <w:rPr>
                <w:rStyle w:val="IndexLink"/>
              </w:rPr>
              <w:t>13</w:t>
            </w:r>
          </w:hyperlink>
        </w:p>
        <w:p>
          <w:pPr>
            <w:pStyle w:val="TOC1"/>
            <w:rPr/>
          </w:pPr>
          <w:r>
            <w:rPr/>
            <w:t>14.</w:t>
            <w:tab/>
            <w:t>Governing Law and Jurisdiction</w:t>
            <w:tab/>
          </w:r>
          <w:hyperlink w:anchor="__RefHeading___Toc438630989">
            <w:r>
              <w:rPr>
                <w:rStyle w:val="IndexLink"/>
              </w:rPr>
              <w:t>13</w:t>
            </w:r>
          </w:hyperlink>
        </w:p>
        <w:p>
          <w:pPr>
            <w:pStyle w:val="TOC2"/>
            <w:rPr/>
          </w:pPr>
          <w:r>
            <w:rPr/>
            <w:t>Schedule 1- Existing Contracts</w:t>
            <w:tab/>
          </w:r>
          <w:hyperlink w:anchor="__RefHeading___Toc438630991">
            <w:r>
              <w:rPr>
                <w:rStyle w:val="IndexLink"/>
              </w:rPr>
              <w:t>14</w:t>
            </w:r>
          </w:hyperlink>
        </w:p>
        <w:p>
          <w:pPr>
            <w:pStyle w:val="TOC2"/>
            <w:rPr/>
          </w:pPr>
          <w:r>
            <w:rPr/>
            <w:t>Schedule 2 - Form of Notice Excluding Designated Contracts from the Scope of this Agreement</w:t>
            <w:tab/>
          </w:r>
          <w:hyperlink w:anchor="__RefHeading___Toc438630993">
            <w:r>
              <w:rPr>
                <w:rStyle w:val="IndexLink"/>
              </w:rPr>
              <w:t>15</w:t>
            </w:r>
          </w:hyperlink>
        </w:p>
        <w:p>
          <w:pPr>
            <w:pStyle w:val="TOC2"/>
            <w:rPr/>
          </w:pPr>
          <w:r>
            <w:rPr/>
            <w:t>Schedule 3 - Communication Details</w:t>
            <w:tab/>
          </w:r>
          <w:hyperlink w:anchor="__RefHeading___Toc438630995">
            <w:r>
              <w:rPr>
                <w:rStyle w:val="IndexLink"/>
              </w:rPr>
              <w:t>16</w:t>
            </w:r>
          </w:hyperlink>
          <w:r>
            <w:rPr>
              <w:rStyle w:val="IndexLink"/>
            </w:rPr>
            <w:fldChar w:fldCharType="end"/>
          </w:r>
        </w:p>
      </w:sdtContent>
    </w:sdt>
    <w:p>
      <w:pPr>
        <w:sectPr>
          <w:headerReference w:type="default" r:id="rId7"/>
          <w:headerReference w:type="first" r:id="rId8"/>
          <w:footerReference w:type="default" r:id="rId9"/>
          <w:footerReference w:type="first" r:id="rId10"/>
          <w:type w:val="nextPage"/>
          <w:pgSz w:w="11906" w:h="16838"/>
          <w:pgMar w:left="1418" w:right="1274" w:gutter="0" w:header="720" w:top="1440" w:footer="720" w:bottom="1440"/>
          <w:pgNumType w:fmt="decimal"/>
          <w:formProt w:val="false"/>
          <w:titlePg/>
          <w:textDirection w:val="lrTb"/>
          <w:docGrid w:type="default" w:linePitch="360" w:charSpace="0"/>
        </w:sectPr>
        <w:pStyle w:val="TOC1"/>
        <w:numPr>
          <w:ilvl w:val="0"/>
          <w:numId w:val="0"/>
        </w:numPr>
        <w:rPr/>
      </w:pPr>
      <w:r>
        <w:rPr/>
      </w:r>
    </w:p>
    <w:p>
      <w:pPr>
        <w:pStyle w:val="Normal"/>
        <w:rPr>
          <w:sz w:val="24"/>
        </w:rPr>
      </w:pPr>
      <w:r>
        <w:rPr>
          <w:sz w:val="24"/>
        </w:rPr>
        <w:t>THIS AGREEMENT is made on _________ 1999</w:t>
      </w:r>
    </w:p>
    <w:p>
      <w:pPr>
        <w:pStyle w:val="Normal"/>
        <w:rPr>
          <w:sz w:val="24"/>
        </w:rPr>
      </w:pPr>
      <w:r>
        <w:rPr>
          <w:sz w:val="24"/>
        </w:rPr>
      </w:r>
    </w:p>
    <w:p>
      <w:pPr>
        <w:pStyle w:val="Normal"/>
        <w:rPr>
          <w:sz w:val="24"/>
        </w:rPr>
      </w:pPr>
      <w:r>
        <w:rPr>
          <w:sz w:val="24"/>
        </w:rPr>
        <w:t>PARTIES</w:t>
      </w:r>
    </w:p>
    <w:p>
      <w:pPr>
        <w:pStyle w:val="Normal"/>
        <w:rPr>
          <w:sz w:val="24"/>
        </w:rPr>
      </w:pPr>
      <w:r>
        <w:rPr>
          <w:sz w:val="24"/>
        </w:rPr>
      </w:r>
    </w:p>
    <w:p>
      <w:pPr>
        <w:pStyle w:val="Normal"/>
        <w:numPr>
          <w:ilvl w:val="0"/>
          <w:numId w:val="7"/>
        </w:numPr>
        <w:tabs>
          <w:tab w:val="clear" w:pos="720"/>
          <w:tab w:val="left" w:pos="567" w:leader="none"/>
        </w:tabs>
        <w:ind w:hanging="567" w:start="567" w:end="0"/>
        <w:rPr>
          <w:sz w:val="24"/>
        </w:rPr>
      </w:pPr>
      <w:r>
        <w:rPr>
          <w:b/>
          <w:sz w:val="24"/>
        </w:rPr>
        <w:t>ENRON CAPITAL &amp; TRADE RESOURCES LIMITED</w:t>
      </w:r>
      <w:r>
        <w:rPr>
          <w:sz w:val="24"/>
        </w:rPr>
        <w:t xml:space="preserve"> </w:t>
      </w:r>
      <w:r>
        <w:rPr>
          <w:spacing w:val="-2"/>
          <w:sz w:val="24"/>
        </w:rPr>
        <w:t>(No. 2415924), a company incorporated in England and Wales.</w:t>
      </w:r>
      <w:r>
        <w:rPr>
          <w:sz w:val="24"/>
        </w:rPr>
        <w:br/>
      </w:r>
    </w:p>
    <w:p>
      <w:pPr>
        <w:pStyle w:val="Normal"/>
        <w:numPr>
          <w:ilvl w:val="0"/>
          <w:numId w:val="7"/>
        </w:numPr>
        <w:tabs>
          <w:tab w:val="clear" w:pos="720"/>
          <w:tab w:val="left" w:pos="567" w:leader="none"/>
        </w:tabs>
        <w:ind w:hanging="567" w:start="567" w:end="0"/>
        <w:rPr>
          <w:sz w:val="24"/>
        </w:rPr>
      </w:pPr>
      <w:r>
        <w:rPr>
          <w:b/>
          <w:sz w:val="24"/>
        </w:rPr>
        <w:t>NATIONAL POWER PLC</w:t>
      </w:r>
      <w:r>
        <w:rPr>
          <w:sz w:val="24"/>
        </w:rPr>
        <w:t xml:space="preserve"> </w:t>
      </w:r>
      <w:r>
        <w:rPr>
          <w:spacing w:val="-2"/>
          <w:sz w:val="24"/>
        </w:rPr>
        <w:t>(No. 2366963 )</w:t>
      </w:r>
      <w:r>
        <w:rPr>
          <w:sz w:val="24"/>
        </w:rPr>
        <w:t>, a company incorporated in England and Wales.</w:t>
      </w:r>
    </w:p>
    <w:p>
      <w:pPr>
        <w:pStyle w:val="Normal"/>
        <w:tabs>
          <w:tab w:val="clear" w:pos="720"/>
          <w:tab w:val="left" w:pos="567" w:leader="none"/>
        </w:tabs>
        <w:ind w:hanging="567" w:start="567" w:end="0"/>
        <w:rPr>
          <w:sz w:val="24"/>
        </w:rPr>
      </w:pPr>
      <w:r>
        <w:rPr>
          <w:sz w:val="24"/>
        </w:rPr>
      </w:r>
    </w:p>
    <w:p>
      <w:pPr>
        <w:pStyle w:val="Normal"/>
        <w:tabs>
          <w:tab w:val="clear" w:pos="720"/>
          <w:tab w:val="left" w:pos="567" w:leader="none"/>
        </w:tabs>
        <w:ind w:hanging="567" w:start="567" w:end="0"/>
        <w:rPr>
          <w:sz w:val="24"/>
        </w:rPr>
      </w:pPr>
      <w:r>
        <w:rPr>
          <w:sz w:val="24"/>
        </w:rPr>
        <w:t>WHEREAS:</w:t>
      </w:r>
    </w:p>
    <w:p>
      <w:pPr>
        <w:pStyle w:val="Normal"/>
        <w:tabs>
          <w:tab w:val="clear" w:pos="720"/>
          <w:tab w:val="left" w:pos="567" w:leader="none"/>
        </w:tabs>
        <w:ind w:hanging="567" w:start="567" w:end="0"/>
        <w:rPr>
          <w:sz w:val="24"/>
        </w:rPr>
      </w:pPr>
      <w:r>
        <w:rPr>
          <w:sz w:val="24"/>
        </w:rPr>
      </w:r>
    </w:p>
    <w:p>
      <w:pPr>
        <w:pStyle w:val="Normal"/>
        <w:numPr>
          <w:ilvl w:val="0"/>
          <w:numId w:val="5"/>
        </w:numPr>
        <w:tabs>
          <w:tab w:val="clear" w:pos="720"/>
          <w:tab w:val="left" w:pos="567" w:leader="none"/>
        </w:tabs>
        <w:ind w:hanging="567" w:start="567" w:end="0"/>
        <w:rPr>
          <w:sz w:val="24"/>
        </w:rPr>
      </w:pPr>
      <w:r>
        <w:rPr>
          <w:sz w:val="24"/>
        </w:rPr>
        <w:t>The parties have entered into the Existing Contracts  and may, from time to time, enter into further Trading Contracts (each as defined below).</w:t>
        <w:br/>
      </w:r>
    </w:p>
    <w:p>
      <w:pPr>
        <w:pStyle w:val="Normal"/>
        <w:numPr>
          <w:ilvl w:val="0"/>
          <w:numId w:val="5"/>
        </w:numPr>
        <w:tabs>
          <w:tab w:val="clear" w:pos="720"/>
          <w:tab w:val="left" w:pos="567" w:leader="none"/>
        </w:tabs>
        <w:ind w:hanging="567" w:start="567" w:end="0"/>
        <w:rPr>
          <w:sz w:val="24"/>
        </w:rPr>
      </w:pPr>
      <w:r>
        <w:rPr>
          <w:sz w:val="24"/>
        </w:rPr>
        <w:t>The parties have agreed that their obligations to make deliveries and payments under each of the contracts referred to in recital (A) above shall be amended in accordance with the provisions of this Agreement.</w:t>
      </w:r>
    </w:p>
    <w:p>
      <w:pPr>
        <w:pStyle w:val="Normal"/>
        <w:tabs>
          <w:tab w:val="clear" w:pos="720"/>
          <w:tab w:val="left" w:pos="567" w:leader="none"/>
        </w:tabs>
        <w:ind w:hanging="567" w:start="567" w:end="0"/>
        <w:rPr>
          <w:sz w:val="24"/>
        </w:rPr>
      </w:pPr>
      <w:r>
        <w:rPr>
          <w:sz w:val="24"/>
        </w:rPr>
      </w:r>
    </w:p>
    <w:p>
      <w:pPr>
        <w:pStyle w:val="Normal"/>
        <w:tabs>
          <w:tab w:val="clear" w:pos="720"/>
          <w:tab w:val="left" w:pos="567" w:leader="none"/>
        </w:tabs>
        <w:ind w:hanging="567" w:start="567" w:end="0"/>
        <w:rPr>
          <w:sz w:val="24"/>
        </w:rPr>
      </w:pPr>
      <w:r>
        <w:rPr>
          <w:sz w:val="24"/>
        </w:rPr>
        <w:t>IT IS AGREED as follows:</w:t>
      </w:r>
    </w:p>
    <w:p>
      <w:pPr>
        <w:pStyle w:val="Normal"/>
        <w:tabs>
          <w:tab w:val="clear" w:pos="720"/>
          <w:tab w:val="left" w:pos="567" w:leader="none"/>
        </w:tabs>
        <w:ind w:hanging="567" w:start="567" w:end="0"/>
        <w:rPr>
          <w:sz w:val="24"/>
        </w:rPr>
      </w:pPr>
      <w:r>
        <w:rPr>
          <w:sz w:val="24"/>
        </w:rPr>
      </w:r>
    </w:p>
    <w:p>
      <w:pPr>
        <w:pStyle w:val="Heading1"/>
        <w:ind w:hanging="0" w:start="0"/>
        <w:rPr>
          <w:sz w:val="24"/>
        </w:rPr>
      </w:pPr>
      <w:bookmarkStart w:id="0" w:name="__RefHeading___Toc438630976"/>
      <w:bookmarkEnd w:id="0"/>
      <w:r>
        <w:rPr>
          <w:sz w:val="24"/>
        </w:rPr>
        <w:t>1.</w:t>
        <w:tab/>
        <w:t>Interpretation</w:t>
      </w:r>
    </w:p>
    <w:p>
      <w:pPr>
        <w:pStyle w:val="Normal"/>
        <w:tabs>
          <w:tab w:val="clear" w:pos="720"/>
          <w:tab w:val="left" w:pos="567" w:leader="none"/>
        </w:tabs>
        <w:ind w:hanging="567" w:start="567" w:end="0"/>
        <w:rPr>
          <w:sz w:val="24"/>
        </w:rPr>
      </w:pPr>
      <w:r>
        <w:rPr>
          <w:sz w:val="24"/>
        </w:rPr>
      </w:r>
    </w:p>
    <w:p>
      <w:pPr>
        <w:pStyle w:val="Normal"/>
        <w:tabs>
          <w:tab w:val="clear" w:pos="720"/>
          <w:tab w:val="left" w:pos="567" w:leader="none"/>
        </w:tabs>
        <w:ind w:hanging="567" w:start="567" w:end="0"/>
        <w:rPr>
          <w:sz w:val="24"/>
        </w:rPr>
      </w:pPr>
      <w:r>
        <w:rPr>
          <w:sz w:val="24"/>
        </w:rPr>
        <w:t>1.1</w:t>
        <w:tab/>
        <w:t>In this Agreement and in the Recitals hereto:</w:t>
      </w:r>
    </w:p>
    <w:p>
      <w:pPr>
        <w:pStyle w:val="Normal"/>
        <w:tabs>
          <w:tab w:val="clear" w:pos="720"/>
          <w:tab w:val="left" w:pos="567" w:leader="none"/>
        </w:tabs>
        <w:ind w:hanging="567" w:start="567" w:end="0"/>
        <w:rPr>
          <w:sz w:val="24"/>
        </w:rPr>
      </w:pPr>
      <w:r>
        <w:rPr>
          <w:sz w:val="24"/>
        </w:rPr>
      </w:r>
    </w:p>
    <w:p>
      <w:pPr>
        <w:pStyle w:val="Heading2"/>
        <w:tabs>
          <w:tab w:val="clear" w:pos="567"/>
          <w:tab w:val="left" w:pos="0" w:leader="none"/>
        </w:tabs>
        <w:ind w:hanging="0" w:start="0" w:end="0"/>
        <w:rPr>
          <w:b w:val="false"/>
          <w:sz w:val="24"/>
        </w:rPr>
      </w:pPr>
      <w:r>
        <w:rPr>
          <w:sz w:val="24"/>
        </w:rPr>
        <w:t>“</w:t>
      </w:r>
      <w:r>
        <w:rPr>
          <w:sz w:val="24"/>
        </w:rPr>
        <w:t xml:space="preserve">Affiliate” </w:t>
      </w:r>
      <w:r>
        <w:rPr>
          <w:b w:val="false"/>
          <w:spacing w:val="-2"/>
          <w:sz w:val="24"/>
        </w:rPr>
        <w:t>means in respect of a party, its holding company or subsidiary or any holding company or subsidiary of such holding company or subsidiary; and the expressions "holding company" and "subsidiary" shall have the meanings specified by section 736 of the Companies Act 1985 (as amended from time to time);</w:t>
      </w:r>
    </w:p>
    <w:p>
      <w:pPr>
        <w:pStyle w:val="Normal"/>
        <w:rPr>
          <w:b/>
          <w:sz w:val="24"/>
        </w:rPr>
      </w:pPr>
      <w:r>
        <w:rPr>
          <w:b/>
          <w:sz w:val="24"/>
        </w:rPr>
      </w:r>
    </w:p>
    <w:p>
      <w:pPr>
        <w:pStyle w:val="Normal"/>
        <w:rPr/>
      </w:pPr>
      <w:r>
        <w:rPr>
          <w:b/>
          <w:sz w:val="24"/>
        </w:rPr>
        <w:t>“</w:t>
      </w:r>
      <w:r>
        <w:rPr>
          <w:b/>
          <w:sz w:val="24"/>
        </w:rPr>
        <w:t>Business Day”</w:t>
      </w:r>
      <w:r>
        <w:rPr>
          <w:sz w:val="24"/>
        </w:rPr>
        <w:t xml:space="preserve"> means a day on which banks are ordinarily open for business in London and New York;</w:t>
      </w:r>
    </w:p>
    <w:p>
      <w:pPr>
        <w:pStyle w:val="Normal"/>
        <w:rPr>
          <w:sz w:val="24"/>
        </w:rPr>
      </w:pPr>
      <w:r>
        <w:rPr>
          <w:sz w:val="24"/>
        </w:rPr>
      </w:r>
    </w:p>
    <w:p>
      <w:pPr>
        <w:pStyle w:val="Normal"/>
        <w:tabs>
          <w:tab w:val="clear" w:pos="720"/>
          <w:tab w:val="left" w:pos="0" w:leader="none"/>
        </w:tabs>
        <w:rPr/>
      </w:pPr>
      <w:r>
        <w:rPr>
          <w:b/>
          <w:sz w:val="24"/>
        </w:rPr>
        <w:t>“</w:t>
      </w:r>
      <w:r>
        <w:rPr>
          <w:b/>
          <w:sz w:val="24"/>
        </w:rPr>
        <w:t>Close-out”</w:t>
      </w:r>
      <w:r>
        <w:rPr>
          <w:sz w:val="24"/>
        </w:rPr>
        <w:t xml:space="preserve"> means, in relation to a Designated Contract and, if such Designated Contract is a master agreement, each transaction thereunder, the mechanism contained therein or herein whereby:</w:t>
      </w:r>
    </w:p>
    <w:p>
      <w:pPr>
        <w:pStyle w:val="Normal"/>
        <w:numPr>
          <w:ilvl w:val="0"/>
          <w:numId w:val="9"/>
        </w:numPr>
        <w:tabs>
          <w:tab w:val="clear" w:pos="720"/>
          <w:tab w:val="left" w:pos="567" w:leader="none"/>
          <w:tab w:val="left" w:pos="1276" w:leader="none"/>
        </w:tabs>
        <w:spacing w:before="120" w:after="0"/>
        <w:ind w:hanging="567" w:start="567" w:end="0"/>
        <w:rPr>
          <w:sz w:val="24"/>
        </w:rPr>
      </w:pPr>
      <w:r>
        <w:rPr>
          <w:sz w:val="24"/>
        </w:rPr>
        <w:t>the parties’ respective rights and obligations to receive and make further payments or deliveries (as applicable) are terminated;</w:t>
      </w:r>
    </w:p>
    <w:p>
      <w:pPr>
        <w:pStyle w:val="Normal"/>
        <w:numPr>
          <w:ilvl w:val="0"/>
          <w:numId w:val="9"/>
        </w:numPr>
        <w:tabs>
          <w:tab w:val="clear" w:pos="720"/>
          <w:tab w:val="left" w:pos="567" w:leader="none"/>
          <w:tab w:val="left" w:pos="1276" w:leader="none"/>
        </w:tabs>
        <w:spacing w:before="120" w:after="0"/>
        <w:ind w:hanging="567" w:start="567" w:end="0"/>
        <w:rPr>
          <w:sz w:val="24"/>
        </w:rPr>
      </w:pPr>
      <w:r>
        <w:rPr>
          <w:sz w:val="24"/>
        </w:rPr>
        <w:t>such rights and obligations or such transactions (as the case may be) are attributed a monetary value using a methodology prescribed therein or herein; and</w:t>
      </w:r>
    </w:p>
    <w:p>
      <w:pPr>
        <w:pStyle w:val="Normal"/>
        <w:numPr>
          <w:ilvl w:val="0"/>
          <w:numId w:val="9"/>
        </w:numPr>
        <w:tabs>
          <w:tab w:val="clear" w:pos="720"/>
          <w:tab w:val="left" w:pos="567" w:leader="none"/>
          <w:tab w:val="left" w:pos="1276" w:leader="none"/>
        </w:tabs>
        <w:spacing w:before="120" w:after="0"/>
        <w:ind w:hanging="567" w:start="567" w:end="0"/>
        <w:rPr>
          <w:sz w:val="24"/>
        </w:rPr>
      </w:pPr>
      <w:r>
        <w:rPr>
          <w:sz w:val="24"/>
        </w:rPr>
        <w:t>(if applicable) such monetary values are aggregated and/or netted or set off so as to create a Close-out Amount payable by one party to the other;</w:t>
      </w:r>
    </w:p>
    <w:p>
      <w:pPr>
        <w:pStyle w:val="Header"/>
        <w:tabs>
          <w:tab w:val="clear" w:pos="4153"/>
          <w:tab w:val="clear" w:pos="8306"/>
          <w:tab w:val="left" w:pos="0" w:leader="none"/>
        </w:tabs>
        <w:spacing w:before="120" w:after="0"/>
        <w:rPr/>
      </w:pPr>
      <w:r>
        <w:rPr>
          <w:sz w:val="24"/>
        </w:rPr>
        <w:t>or any other mechanism which achieves the same or an economically equivalent result (provided that the mechanism (if it is not the mechanism set out in this Agreement) provides for a single Close-out Amount to be paid by one party to the other party) and any reference to “</w:t>
      </w:r>
      <w:r>
        <w:rPr>
          <w:b/>
          <w:sz w:val="24"/>
        </w:rPr>
        <w:t>Closed out</w:t>
      </w:r>
      <w:r>
        <w:rPr>
          <w:sz w:val="24"/>
        </w:rPr>
        <w:t>” shall be construed accordingly;</w:t>
      </w:r>
    </w:p>
    <w:p>
      <w:pPr>
        <w:pStyle w:val="Normal"/>
        <w:tabs>
          <w:tab w:val="clear" w:pos="720"/>
          <w:tab w:val="left" w:pos="567" w:leader="none"/>
        </w:tabs>
        <w:ind w:hanging="567" w:start="567" w:end="0"/>
        <w:rPr>
          <w:sz w:val="24"/>
        </w:rPr>
      </w:pPr>
      <w:r>
        <w:rPr>
          <w:sz w:val="24"/>
        </w:rPr>
      </w:r>
    </w:p>
    <w:p>
      <w:pPr>
        <w:pStyle w:val="Normal"/>
        <w:tabs>
          <w:tab w:val="clear" w:pos="720"/>
          <w:tab w:val="left" w:pos="0" w:leader="none"/>
        </w:tabs>
        <w:rPr/>
      </w:pPr>
      <w:r>
        <w:rPr>
          <w:b/>
          <w:sz w:val="24"/>
        </w:rPr>
        <w:t>“</w:t>
      </w:r>
      <w:r>
        <w:rPr>
          <w:b/>
          <w:sz w:val="24"/>
        </w:rPr>
        <w:t>Close-out Amount”</w:t>
      </w:r>
      <w:r>
        <w:rPr>
          <w:sz w:val="24"/>
        </w:rPr>
        <w:t xml:space="preserve"> means, in relation to a Designated Contract, the single net sum (if any) payable by one party to the other thereunder following the Close-out of that Designated Contract or, if such Designated Contract is a master agreement which itself provides for Close-out, all transactions outstanding thereunder or, if such Designated Contract is a master agreement which does not itself provide for Close-out, each transaction outstanding thereunder (and for the avoidance of doubt, such net sum shall take into account any sums due but unpaid thereunder between the parties and any other sum or Collateral required thereunder to be taken into account); </w:t>
      </w:r>
    </w:p>
    <w:p>
      <w:pPr>
        <w:pStyle w:val="Header"/>
        <w:tabs>
          <w:tab w:val="clear" w:pos="4153"/>
          <w:tab w:val="clear" w:pos="8306"/>
          <w:tab w:val="left" w:pos="0" w:leader="none"/>
        </w:tabs>
        <w:rPr>
          <w:sz w:val="24"/>
        </w:rPr>
      </w:pPr>
      <w:r>
        <w:rPr>
          <w:sz w:val="24"/>
        </w:rPr>
      </w:r>
    </w:p>
    <w:p>
      <w:pPr>
        <w:pStyle w:val="Normal"/>
        <w:rPr/>
      </w:pPr>
      <w:r>
        <w:rPr>
          <w:sz w:val="24"/>
        </w:rPr>
        <w:t>“</w:t>
      </w:r>
      <w:r>
        <w:rPr>
          <w:b/>
          <w:sz w:val="24"/>
        </w:rPr>
        <w:t>Collateral</w:t>
      </w:r>
      <w:r>
        <w:rPr>
          <w:sz w:val="24"/>
        </w:rPr>
        <w:t>” means any property or asset transferred by one party to this Agreement to the other party to this Agreement as credit support or collateral in connection only with one or more Designated Contracts, but excluding any such property or asset provided by way of Security;</w:t>
      </w:r>
    </w:p>
    <w:p>
      <w:pPr>
        <w:pStyle w:val="Normal"/>
        <w:rPr>
          <w:sz w:val="24"/>
        </w:rPr>
      </w:pPr>
      <w:r>
        <w:rPr>
          <w:sz w:val="24"/>
        </w:rPr>
      </w:r>
    </w:p>
    <w:p>
      <w:pPr>
        <w:pStyle w:val="Normal"/>
        <w:rPr/>
      </w:pPr>
      <w:r>
        <w:rPr>
          <w:sz w:val="24"/>
        </w:rPr>
        <w:t>“</w:t>
      </w:r>
      <w:r>
        <w:rPr>
          <w:b/>
          <w:sz w:val="24"/>
        </w:rPr>
        <w:t>Collateral Agreement</w:t>
      </w:r>
      <w:r>
        <w:rPr>
          <w:sz w:val="24"/>
        </w:rPr>
        <w:t>” means an agreement pursuant to which Collateral has been transferred to a Collateral Recipient;</w:t>
      </w:r>
    </w:p>
    <w:p>
      <w:pPr>
        <w:pStyle w:val="Normal"/>
        <w:rPr>
          <w:b/>
          <w:sz w:val="24"/>
        </w:rPr>
      </w:pPr>
      <w:r>
        <w:rPr>
          <w:b/>
          <w:sz w:val="24"/>
        </w:rPr>
      </w:r>
    </w:p>
    <w:p>
      <w:pPr>
        <w:pStyle w:val="Normal"/>
        <w:rPr/>
      </w:pPr>
      <w:r>
        <w:rPr>
          <w:b/>
          <w:sz w:val="24"/>
        </w:rPr>
        <w:t>“</w:t>
      </w:r>
      <w:r>
        <w:rPr>
          <w:b/>
          <w:sz w:val="24"/>
        </w:rPr>
        <w:t>Collateral Provider”</w:t>
      </w:r>
      <w:r>
        <w:rPr>
          <w:sz w:val="24"/>
        </w:rPr>
        <w:t xml:space="preserve"> means, in relation to any Collateral, the party to this Agreement who provided it;</w:t>
      </w:r>
    </w:p>
    <w:p>
      <w:pPr>
        <w:pStyle w:val="Normal"/>
        <w:rPr>
          <w:sz w:val="24"/>
        </w:rPr>
      </w:pPr>
      <w:r>
        <w:rPr>
          <w:sz w:val="24"/>
        </w:rPr>
      </w:r>
    </w:p>
    <w:p>
      <w:pPr>
        <w:pStyle w:val="Normal"/>
        <w:rPr/>
      </w:pPr>
      <w:r>
        <w:rPr>
          <w:sz w:val="24"/>
        </w:rPr>
        <w:t>“</w:t>
      </w:r>
      <w:r>
        <w:rPr>
          <w:b/>
          <w:sz w:val="24"/>
        </w:rPr>
        <w:t>Collateral Recipient</w:t>
      </w:r>
      <w:r>
        <w:rPr>
          <w:sz w:val="24"/>
        </w:rPr>
        <w:t>” means, in relation to any Collateral, the party to this Agreement who received it;</w:t>
      </w:r>
    </w:p>
    <w:p>
      <w:pPr>
        <w:pStyle w:val="Normal"/>
        <w:tabs>
          <w:tab w:val="clear" w:pos="720"/>
          <w:tab w:val="left" w:pos="0" w:leader="none"/>
        </w:tabs>
        <w:rPr>
          <w:b/>
          <w:sz w:val="24"/>
        </w:rPr>
      </w:pPr>
      <w:r>
        <w:rPr>
          <w:b/>
          <w:sz w:val="24"/>
        </w:rPr>
      </w:r>
    </w:p>
    <w:p>
      <w:pPr>
        <w:pStyle w:val="Normal"/>
        <w:tabs>
          <w:tab w:val="clear" w:pos="720"/>
          <w:tab w:val="left" w:pos="0" w:leader="none"/>
        </w:tabs>
        <w:rPr/>
      </w:pPr>
      <w:r>
        <w:rPr>
          <w:b/>
          <w:sz w:val="24"/>
        </w:rPr>
        <w:t>“</w:t>
      </w:r>
      <w:r>
        <w:rPr>
          <w:b/>
          <w:sz w:val="24"/>
        </w:rPr>
        <w:t>Credit Support Provider”</w:t>
      </w:r>
      <w:r>
        <w:rPr>
          <w:sz w:val="24"/>
        </w:rPr>
        <w:t xml:space="preserve"> means any third party required to provide Third Party Credit Support to a party hereto in relation to the obligations of the other party hereto under a Designated Contract;</w:t>
      </w:r>
    </w:p>
    <w:p>
      <w:pPr>
        <w:pStyle w:val="Normal"/>
        <w:tabs>
          <w:tab w:val="clear" w:pos="720"/>
          <w:tab w:val="left" w:pos="567" w:leader="none"/>
        </w:tabs>
        <w:ind w:hanging="567" w:start="567" w:end="0"/>
        <w:rPr>
          <w:b/>
          <w:sz w:val="24"/>
        </w:rPr>
      </w:pPr>
      <w:r>
        <w:rPr>
          <w:b/>
          <w:sz w:val="24"/>
        </w:rPr>
      </w:r>
    </w:p>
    <w:p>
      <w:pPr>
        <w:pStyle w:val="Normal"/>
        <w:tabs>
          <w:tab w:val="clear" w:pos="720"/>
          <w:tab w:val="left" w:pos="567" w:leader="none"/>
        </w:tabs>
        <w:ind w:hanging="567" w:start="567" w:end="0"/>
        <w:rPr/>
      </w:pPr>
      <w:r>
        <w:rPr>
          <w:b/>
          <w:sz w:val="24"/>
        </w:rPr>
        <w:t>“</w:t>
      </w:r>
      <w:r>
        <w:rPr>
          <w:b/>
          <w:sz w:val="24"/>
        </w:rPr>
        <w:t>Designated Contracts”</w:t>
      </w:r>
      <w:r>
        <w:rPr>
          <w:sz w:val="24"/>
        </w:rPr>
        <w:t xml:space="preserve"> means:</w:t>
      </w:r>
    </w:p>
    <w:p>
      <w:pPr>
        <w:pStyle w:val="Normal"/>
        <w:numPr>
          <w:ilvl w:val="0"/>
          <w:numId w:val="16"/>
        </w:numPr>
        <w:spacing w:before="120" w:after="0"/>
        <w:rPr>
          <w:sz w:val="24"/>
        </w:rPr>
      </w:pPr>
      <w:r>
        <w:rPr>
          <w:sz w:val="24"/>
        </w:rPr>
        <w:t xml:space="preserve">the Existing Contracts; </w:t>
      </w:r>
    </w:p>
    <w:p>
      <w:pPr>
        <w:pStyle w:val="Normal"/>
        <w:numPr>
          <w:ilvl w:val="0"/>
          <w:numId w:val="16"/>
        </w:numPr>
        <w:spacing w:before="120" w:after="0"/>
        <w:rPr>
          <w:sz w:val="24"/>
        </w:rPr>
      </w:pPr>
      <w:r>
        <w:rPr>
          <w:sz w:val="24"/>
        </w:rPr>
        <w:t>subject to Clause 2.2, all Trading Contracts entered into between the parties at any time (including before the date hereof); and</w:t>
      </w:r>
    </w:p>
    <w:p>
      <w:pPr>
        <w:pStyle w:val="Normal"/>
        <w:numPr>
          <w:ilvl w:val="0"/>
          <w:numId w:val="16"/>
        </w:numPr>
        <w:spacing w:before="120" w:after="0"/>
        <w:rPr>
          <w:sz w:val="24"/>
        </w:rPr>
      </w:pPr>
      <w:r>
        <w:rPr>
          <w:sz w:val="24"/>
        </w:rPr>
        <w:t>if the Designated Contract is a master agreement, both the master agreement and each transaction entered into under it (and, where the context so requires, a reference in this Agreement to a Designated Contract may be construed as a reference to a particular transaction under such a master agreement)</w:t>
      </w:r>
    </w:p>
    <w:p>
      <w:pPr>
        <w:pStyle w:val="Normal"/>
        <w:tabs>
          <w:tab w:val="clear" w:pos="720"/>
          <w:tab w:val="left" w:pos="567" w:leader="none"/>
        </w:tabs>
        <w:spacing w:before="120" w:after="0"/>
        <w:rPr/>
      </w:pPr>
      <w:r>
        <w:rPr>
          <w:sz w:val="24"/>
        </w:rPr>
        <w:t>as any such contract referred to in (i), (ii) or (iii) above may be amended from time to time; and “</w:t>
      </w:r>
      <w:r>
        <w:rPr>
          <w:b/>
          <w:sz w:val="24"/>
        </w:rPr>
        <w:t>Designated Contract”</w:t>
      </w:r>
      <w:r>
        <w:rPr>
          <w:sz w:val="24"/>
        </w:rPr>
        <w:t xml:space="preserve"> means any one of the foregoing, but excludes any contract entered into by a party as trustee or as agent and any contract the benefit of which (or rights under which) has or have been assigned or transferred under Clause 11.1 or Clause 11.2.  For the avoidance of doubt, an agreement or transaction which under the terms of this definition constitutes a Designated Contract shall be subject to this Agreement, notwithstanding the fact that it may contain no reference to this Agreement or to the fact that it is a Designated Contract;</w:t>
      </w:r>
    </w:p>
    <w:p>
      <w:pPr>
        <w:pStyle w:val="Normal"/>
        <w:tabs>
          <w:tab w:val="clear" w:pos="720"/>
          <w:tab w:val="left" w:pos="0" w:leader="none"/>
        </w:tabs>
        <w:rPr>
          <w:b/>
          <w:sz w:val="24"/>
        </w:rPr>
      </w:pPr>
      <w:r>
        <w:rPr>
          <w:b/>
          <w:sz w:val="24"/>
        </w:rPr>
      </w:r>
    </w:p>
    <w:p>
      <w:pPr>
        <w:pStyle w:val="Normal"/>
        <w:rPr/>
      </w:pPr>
      <w:r>
        <w:rPr>
          <w:b/>
          <w:sz w:val="24"/>
        </w:rPr>
        <w:t>“</w:t>
      </w:r>
      <w:r>
        <w:rPr>
          <w:b/>
          <w:sz w:val="24"/>
        </w:rPr>
        <w:t>Event of Default”</w:t>
      </w:r>
      <w:r>
        <w:rPr>
          <w:sz w:val="24"/>
        </w:rPr>
        <w:t xml:space="preserve"> means the occurrence of any event in relation to a party (the “first party”) or its Credit Support Provider which automatically terminates, or entitles the other party to terminate, a Designated Contract, provided such event constitutes or includes:</w:t>
      </w:r>
    </w:p>
    <w:p>
      <w:pPr>
        <w:pStyle w:val="Normal"/>
        <w:rPr>
          <w:sz w:val="24"/>
        </w:rPr>
      </w:pPr>
      <w:r>
        <w:rPr>
          <w:sz w:val="24"/>
        </w:rPr>
      </w:r>
    </w:p>
    <w:p>
      <w:pPr>
        <w:pStyle w:val="Normal"/>
        <w:ind w:hanging="567" w:start="567" w:end="0"/>
        <w:rPr>
          <w:sz w:val="24"/>
        </w:rPr>
      </w:pPr>
      <w:r>
        <w:rPr>
          <w:sz w:val="24"/>
        </w:rPr>
        <w:t>(i)</w:t>
        <w:tab/>
        <w:t xml:space="preserve">a failure to perform any payment or delivery obligation thereunder; </w:t>
      </w:r>
    </w:p>
    <w:p>
      <w:pPr>
        <w:pStyle w:val="Normal"/>
        <w:ind w:hanging="567" w:start="567" w:end="0"/>
        <w:rPr>
          <w:sz w:val="24"/>
        </w:rPr>
      </w:pPr>
      <w:r>
        <w:rPr>
          <w:sz w:val="24"/>
        </w:rPr>
      </w:r>
    </w:p>
    <w:p>
      <w:pPr>
        <w:pStyle w:val="Normal"/>
        <w:ind w:hanging="567" w:start="567" w:end="0"/>
        <w:rPr>
          <w:sz w:val="24"/>
        </w:rPr>
      </w:pPr>
      <w:r>
        <w:rPr>
          <w:sz w:val="24"/>
        </w:rPr>
        <w:t>(ii)</w:t>
        <w:tab/>
        <w:t xml:space="preserve">a voluntary or involuntary case or other proceeding in respect of the liquidation, reorganization or other similar relief with respect to the first party (or its Credit Support Provider) or the bankruptcy or insolvency of the first party (or its Credit Support Provider), under any bankruptcy or insolvency law applicable to it; </w:t>
      </w:r>
    </w:p>
    <w:p>
      <w:pPr>
        <w:pStyle w:val="Normal"/>
        <w:ind w:hanging="567" w:start="567" w:end="0"/>
        <w:rPr>
          <w:sz w:val="24"/>
        </w:rPr>
      </w:pPr>
      <w:r>
        <w:rPr>
          <w:sz w:val="24"/>
        </w:rPr>
      </w:r>
    </w:p>
    <w:p>
      <w:pPr>
        <w:pStyle w:val="Normal"/>
        <w:ind w:hanging="567" w:start="567" w:end="0"/>
        <w:rPr>
          <w:sz w:val="24"/>
        </w:rPr>
      </w:pPr>
      <w:r>
        <w:rPr>
          <w:sz w:val="24"/>
        </w:rPr>
        <w:t>(iii)</w:t>
        <w:tab/>
        <w:t>the appointment of a trustee, receiver, liquidator, conservator, administrator, custodian or other similar official with respect to the first party (or its Credit Support Provider) or any substantial part of its (or its Credit Support Provider’s) assets;</w:t>
      </w:r>
    </w:p>
    <w:p>
      <w:pPr>
        <w:pStyle w:val="Normal"/>
        <w:ind w:hanging="567" w:start="567" w:end="0"/>
        <w:rPr>
          <w:sz w:val="24"/>
        </w:rPr>
      </w:pPr>
      <w:r>
        <w:rPr>
          <w:sz w:val="24"/>
        </w:rPr>
      </w:r>
    </w:p>
    <w:p>
      <w:pPr>
        <w:pStyle w:val="Normal"/>
        <w:ind w:hanging="567" w:start="567" w:end="0"/>
        <w:rPr>
          <w:sz w:val="24"/>
        </w:rPr>
      </w:pPr>
      <w:r>
        <w:rPr>
          <w:sz w:val="24"/>
        </w:rPr>
        <w:t>(iv)</w:t>
        <w:tab/>
        <w:t>a failure by the first party (or its Credit Support Provider) to provide Collateral, Security or Third Party Credit Support as agreed in relation to the Designated Contract;</w:t>
      </w:r>
    </w:p>
    <w:p>
      <w:pPr>
        <w:pStyle w:val="Normal"/>
        <w:ind w:hanging="567" w:start="567" w:end="0"/>
        <w:rPr>
          <w:sz w:val="24"/>
        </w:rPr>
      </w:pPr>
      <w:r>
        <w:rPr>
          <w:sz w:val="24"/>
        </w:rPr>
      </w:r>
    </w:p>
    <w:p>
      <w:pPr>
        <w:pStyle w:val="Normal"/>
        <w:ind w:hanging="567" w:start="567" w:end="0"/>
        <w:rPr>
          <w:sz w:val="24"/>
        </w:rPr>
      </w:pPr>
      <w:r>
        <w:rPr>
          <w:sz w:val="24"/>
        </w:rPr>
        <w:t>(v)</w:t>
        <w:tab/>
        <w:t>a material adverse change (as defined or described in the Designated Contract) in relation to the first party (or its Credit Support Provider) and, following the occurrence of such event, the first party (or its Credit Support Provider) fails to take action as required under the Designed Contract within the permitted time periods; or</w:t>
      </w:r>
    </w:p>
    <w:p>
      <w:pPr>
        <w:pStyle w:val="Normal"/>
        <w:ind w:hanging="567" w:start="567" w:end="0"/>
        <w:rPr>
          <w:sz w:val="24"/>
        </w:rPr>
      </w:pPr>
      <w:r>
        <w:rPr>
          <w:sz w:val="24"/>
        </w:rPr>
      </w:r>
    </w:p>
    <w:p>
      <w:pPr>
        <w:pStyle w:val="Normal"/>
        <w:ind w:hanging="567" w:start="567" w:end="0"/>
        <w:rPr>
          <w:sz w:val="24"/>
        </w:rPr>
      </w:pPr>
      <w:r>
        <w:rPr>
          <w:sz w:val="24"/>
        </w:rPr>
        <w:t>(vi)</w:t>
        <w:tab/>
        <w:t>a default by the first party (or its Credit Support Provider) in respect of its indebtedness to one or more third parties which default entitles any such third party to accelerate any such indebtedness before its scheduled maturity.</w:t>
      </w:r>
    </w:p>
    <w:p>
      <w:pPr>
        <w:pStyle w:val="Normal"/>
        <w:ind w:hanging="567" w:start="567" w:end="0"/>
        <w:rPr>
          <w:sz w:val="24"/>
        </w:rPr>
      </w:pPr>
      <w:r>
        <w:rPr>
          <w:sz w:val="24"/>
        </w:rPr>
      </w:r>
    </w:p>
    <w:p>
      <w:pPr>
        <w:pStyle w:val="Normal"/>
        <w:tabs>
          <w:tab w:val="clear" w:pos="720"/>
          <w:tab w:val="left" w:pos="0" w:leader="none"/>
        </w:tabs>
        <w:rPr/>
      </w:pPr>
      <w:r>
        <w:rPr>
          <w:b/>
          <w:sz w:val="24"/>
        </w:rPr>
        <w:t>“</w:t>
      </w:r>
      <w:r>
        <w:rPr>
          <w:b/>
          <w:sz w:val="24"/>
        </w:rPr>
        <w:t>Existing Contracts”</w:t>
      </w:r>
      <w:r>
        <w:rPr>
          <w:sz w:val="24"/>
        </w:rPr>
        <w:t xml:space="preserve"> means the agreements specified in Schedule 1; </w:t>
      </w:r>
    </w:p>
    <w:p>
      <w:pPr>
        <w:pStyle w:val="Normal"/>
        <w:tabs>
          <w:tab w:val="clear" w:pos="720"/>
          <w:tab w:val="left" w:pos="567" w:leader="none"/>
        </w:tabs>
        <w:ind w:hanging="567" w:start="567" w:end="0"/>
        <w:rPr>
          <w:sz w:val="24"/>
        </w:rPr>
      </w:pPr>
      <w:r>
        <w:rPr>
          <w:sz w:val="24"/>
        </w:rPr>
      </w:r>
    </w:p>
    <w:p>
      <w:pPr>
        <w:pStyle w:val="Normal"/>
        <w:tabs>
          <w:tab w:val="clear" w:pos="720"/>
          <w:tab w:val="left" w:pos="0" w:leader="none"/>
        </w:tabs>
        <w:rPr/>
      </w:pPr>
      <w:r>
        <w:rPr>
          <w:b/>
          <w:sz w:val="24"/>
        </w:rPr>
        <w:t xml:space="preserve"> “</w:t>
      </w:r>
      <w:r>
        <w:rPr>
          <w:b/>
          <w:sz w:val="24"/>
        </w:rPr>
        <w:t>Network Code”</w:t>
      </w:r>
      <w:r>
        <w:rPr>
          <w:sz w:val="24"/>
        </w:rPr>
        <w:t xml:space="preserve"> means the network code prepared by BG plc pursuant to its public gas transporter's licence and relating to its principal pipeline system, as such code may be amended, varied, supplemented, modified or replaced from time to time; and</w:t>
      </w:r>
    </w:p>
    <w:p>
      <w:pPr>
        <w:pStyle w:val="Normal"/>
        <w:tabs>
          <w:tab w:val="clear" w:pos="720"/>
          <w:tab w:val="left" w:pos="0" w:leader="none"/>
        </w:tabs>
        <w:rPr>
          <w:sz w:val="24"/>
        </w:rPr>
      </w:pPr>
      <w:r>
        <w:rPr>
          <w:sz w:val="24"/>
        </w:rPr>
      </w:r>
    </w:p>
    <w:p>
      <w:pPr>
        <w:pStyle w:val="Normal"/>
        <w:rPr/>
      </w:pPr>
      <w:r>
        <w:rPr>
          <w:sz w:val="24"/>
        </w:rPr>
        <w:t>“</w:t>
      </w:r>
      <w:r>
        <w:rPr>
          <w:b/>
          <w:sz w:val="24"/>
        </w:rPr>
        <w:t>Secured Contract</w:t>
      </w:r>
      <w:r>
        <w:rPr>
          <w:sz w:val="24"/>
        </w:rPr>
        <w:t>” means any Designated Contract which is secured by mortgage, charge, pledge, lien or other security given by a party to this Agreement;</w:t>
      </w:r>
    </w:p>
    <w:p>
      <w:pPr>
        <w:pStyle w:val="Normal"/>
        <w:rPr>
          <w:sz w:val="24"/>
        </w:rPr>
      </w:pPr>
      <w:r>
        <w:rPr>
          <w:sz w:val="24"/>
        </w:rPr>
      </w:r>
    </w:p>
    <w:p>
      <w:pPr>
        <w:pStyle w:val="Normal"/>
        <w:rPr/>
      </w:pPr>
      <w:r>
        <w:rPr>
          <w:sz w:val="24"/>
        </w:rPr>
        <w:t>“</w:t>
      </w:r>
      <w:r>
        <w:rPr>
          <w:b/>
          <w:sz w:val="24"/>
        </w:rPr>
        <w:t>Security</w:t>
      </w:r>
      <w:r>
        <w:rPr>
          <w:sz w:val="24"/>
        </w:rPr>
        <w:t>” means any mortgage, charge, pledge, lien or other security provided by a party to this Agreement to secure one or more Secured Contracts;</w:t>
      </w:r>
    </w:p>
    <w:p>
      <w:pPr>
        <w:pStyle w:val="Normal"/>
        <w:tabs>
          <w:tab w:val="clear" w:pos="720"/>
          <w:tab w:val="left" w:pos="0" w:leader="none"/>
        </w:tabs>
        <w:rPr>
          <w:b/>
          <w:sz w:val="24"/>
        </w:rPr>
      </w:pPr>
      <w:r>
        <w:rPr>
          <w:b/>
          <w:sz w:val="24"/>
        </w:rPr>
      </w:r>
    </w:p>
    <w:p>
      <w:pPr>
        <w:pStyle w:val="Normal"/>
        <w:rPr/>
      </w:pPr>
      <w:r>
        <w:rPr>
          <w:sz w:val="24"/>
        </w:rPr>
        <w:t>“</w:t>
      </w:r>
      <w:r>
        <w:rPr>
          <w:b/>
          <w:sz w:val="24"/>
        </w:rPr>
        <w:t>Third Party Credit Support</w:t>
      </w:r>
      <w:r>
        <w:rPr>
          <w:sz w:val="24"/>
        </w:rPr>
        <w:t>” means any collateral, security, guarantee, letter of credit or other support given by a third party in respect of one or more Designated Contracts;</w:t>
      </w:r>
    </w:p>
    <w:p>
      <w:pPr>
        <w:pStyle w:val="Normal"/>
        <w:tabs>
          <w:tab w:val="clear" w:pos="720"/>
          <w:tab w:val="left" w:pos="0" w:leader="none"/>
        </w:tabs>
        <w:rPr>
          <w:b/>
          <w:sz w:val="24"/>
        </w:rPr>
      </w:pPr>
      <w:r>
        <w:rPr>
          <w:b/>
          <w:sz w:val="24"/>
        </w:rPr>
      </w:r>
    </w:p>
    <w:p>
      <w:pPr>
        <w:pStyle w:val="Normal"/>
        <w:tabs>
          <w:tab w:val="clear" w:pos="720"/>
          <w:tab w:val="left" w:pos="0" w:leader="none"/>
        </w:tabs>
        <w:rPr/>
      </w:pPr>
      <w:r>
        <w:rPr>
          <w:b/>
          <w:sz w:val="24"/>
        </w:rPr>
        <w:t>“</w:t>
      </w:r>
      <w:r>
        <w:rPr>
          <w:b/>
          <w:sz w:val="24"/>
        </w:rPr>
        <w:t>Trading Contract”</w:t>
      </w:r>
      <w:r>
        <w:rPr>
          <w:sz w:val="24"/>
        </w:rPr>
        <w:t xml:space="preserve"> means:</w:t>
      </w:r>
    </w:p>
    <w:p>
      <w:pPr>
        <w:pStyle w:val="Normal"/>
        <w:tabs>
          <w:tab w:val="clear" w:pos="720"/>
          <w:tab w:val="left" w:pos="0" w:leader="none"/>
        </w:tabs>
        <w:rPr>
          <w:sz w:val="24"/>
        </w:rPr>
      </w:pPr>
      <w:r>
        <w:rPr>
          <w:sz w:val="24"/>
        </w:rPr>
      </w:r>
    </w:p>
    <w:p>
      <w:pPr>
        <w:pStyle w:val="Normal"/>
        <w:tabs>
          <w:tab w:val="clear" w:pos="720"/>
          <w:tab w:val="left" w:pos="0" w:leader="none"/>
        </w:tabs>
        <w:ind w:hanging="1440" w:start="567" w:end="0"/>
        <w:rPr>
          <w:sz w:val="24"/>
        </w:rPr>
      </w:pPr>
      <w:r>
        <w:rPr>
          <w:sz w:val="24"/>
        </w:rPr>
        <w:tab/>
        <w:t>(i)</w:t>
        <w:tab/>
        <w:t>any contract which constitutes or includes a sale or purchase or exchange of property of any description (including cash in any currency and including any option to sell or purchase or exchange property of any description) whether or not such contract confers on either party a right of cash-settlement as an alternative to physical delivery of such property; or</w:t>
      </w:r>
    </w:p>
    <w:p>
      <w:pPr>
        <w:pStyle w:val="Normal"/>
        <w:tabs>
          <w:tab w:val="clear" w:pos="720"/>
          <w:tab w:val="left" w:pos="0" w:leader="none"/>
        </w:tabs>
        <w:ind w:hanging="1440" w:start="567" w:end="0"/>
        <w:rPr>
          <w:sz w:val="24"/>
        </w:rPr>
      </w:pPr>
      <w:r>
        <w:rPr>
          <w:sz w:val="24"/>
        </w:rPr>
      </w:r>
    </w:p>
    <w:p>
      <w:pPr>
        <w:pStyle w:val="Normal"/>
        <w:tabs>
          <w:tab w:val="clear" w:pos="720"/>
          <w:tab w:val="left" w:pos="0" w:leader="none"/>
        </w:tabs>
        <w:ind w:hanging="1440" w:start="567" w:end="0"/>
        <w:rPr>
          <w:sz w:val="24"/>
        </w:rPr>
      </w:pPr>
      <w:r>
        <w:rPr>
          <w:sz w:val="24"/>
        </w:rPr>
        <w:tab/>
        <w:t>(ii)</w:t>
        <w:tab/>
        <w:t>any contract which constitutes or includes a swap, future, forward or option (including any cap, collar or floor) relating to property of any description, or to any index, interest rate, variable or other factor of any description, or any combination of the foregoing; or</w:t>
      </w:r>
    </w:p>
    <w:p>
      <w:pPr>
        <w:pStyle w:val="Normal"/>
        <w:tabs>
          <w:tab w:val="clear" w:pos="720"/>
          <w:tab w:val="left" w:pos="0" w:leader="none"/>
        </w:tabs>
        <w:ind w:hanging="1440" w:start="567" w:end="0"/>
        <w:rPr>
          <w:sz w:val="24"/>
        </w:rPr>
      </w:pPr>
      <w:r>
        <w:rPr>
          <w:sz w:val="24"/>
        </w:rPr>
      </w:r>
    </w:p>
    <w:p>
      <w:pPr>
        <w:pStyle w:val="Normal"/>
        <w:tabs>
          <w:tab w:val="clear" w:pos="720"/>
          <w:tab w:val="left" w:pos="567" w:leader="none"/>
        </w:tabs>
        <w:ind w:hanging="540" w:start="540" w:end="0"/>
        <w:rPr>
          <w:sz w:val="24"/>
        </w:rPr>
      </w:pPr>
      <w:r>
        <w:rPr>
          <w:sz w:val="24"/>
        </w:rPr>
        <w:t>(iii)</w:t>
        <w:tab/>
        <w:t>any master agreement pursuant to which transactions described in (i) or (ii) above are contemplated.</w:t>
      </w:r>
    </w:p>
    <w:p>
      <w:pPr>
        <w:pStyle w:val="Normal"/>
        <w:tabs>
          <w:tab w:val="clear" w:pos="720"/>
          <w:tab w:val="left" w:pos="567" w:leader="none"/>
        </w:tabs>
        <w:ind w:hanging="567" w:start="567" w:end="0"/>
        <w:rPr>
          <w:sz w:val="24"/>
        </w:rPr>
      </w:pPr>
      <w:r>
        <w:rPr>
          <w:sz w:val="24"/>
        </w:rPr>
      </w:r>
    </w:p>
    <w:p>
      <w:pPr>
        <w:pStyle w:val="Normal"/>
        <w:numPr>
          <w:ilvl w:val="1"/>
          <w:numId w:val="13"/>
        </w:numPr>
        <w:tabs>
          <w:tab w:val="clear" w:pos="720"/>
          <w:tab w:val="left" w:pos="567" w:leader="none"/>
        </w:tabs>
        <w:ind w:hanging="567" w:start="567" w:end="0"/>
        <w:rPr>
          <w:sz w:val="24"/>
        </w:rPr>
      </w:pPr>
      <w:r>
        <w:rPr>
          <w:sz w:val="24"/>
        </w:rPr>
        <w:t>If there is a conflict or inconsistency between any provision of a Designated Contract or a transaction thereunder and this Agreement, this Agreement will prevail.</w:t>
      </w:r>
    </w:p>
    <w:p>
      <w:pPr>
        <w:pStyle w:val="Normal"/>
        <w:rPr>
          <w:sz w:val="24"/>
        </w:rPr>
      </w:pPr>
      <w:r>
        <w:rPr>
          <w:sz w:val="24"/>
        </w:rPr>
      </w:r>
    </w:p>
    <w:p>
      <w:pPr>
        <w:pStyle w:val="Normal"/>
        <w:numPr>
          <w:ilvl w:val="1"/>
          <w:numId w:val="13"/>
        </w:numPr>
        <w:tabs>
          <w:tab w:val="clear" w:pos="720"/>
          <w:tab w:val="left" w:pos="567" w:leader="none"/>
        </w:tabs>
        <w:ind w:hanging="567" w:start="567" w:end="0"/>
        <w:rPr>
          <w:sz w:val="24"/>
        </w:rPr>
      </w:pPr>
      <w:r>
        <w:rPr>
          <w:sz w:val="24"/>
        </w:rPr>
        <w:t>Headings used in this Agreement are for ease of reference only.</w:t>
      </w:r>
    </w:p>
    <w:p>
      <w:pPr>
        <w:pStyle w:val="Heading1"/>
        <w:spacing w:lineRule="auto" w:line="360"/>
        <w:ind w:hanging="0" w:start="0"/>
        <w:rPr>
          <w:sz w:val="24"/>
        </w:rPr>
      </w:pPr>
      <w:r>
        <w:rPr>
          <w:sz w:val="24"/>
        </w:rPr>
      </w:r>
    </w:p>
    <w:p>
      <w:pPr>
        <w:pStyle w:val="Heading1"/>
        <w:ind w:hanging="0" w:start="0"/>
        <w:rPr>
          <w:sz w:val="24"/>
        </w:rPr>
      </w:pPr>
      <w:bookmarkStart w:id="1" w:name="__RefHeading___Toc438630977"/>
      <w:bookmarkEnd w:id="1"/>
      <w:r>
        <w:rPr>
          <w:sz w:val="24"/>
        </w:rPr>
        <w:t>2.</w:t>
        <w:tab/>
        <w:t>Scope</w:t>
      </w:r>
    </w:p>
    <w:p>
      <w:pPr>
        <w:pStyle w:val="Normal"/>
        <w:tabs>
          <w:tab w:val="clear" w:pos="720"/>
          <w:tab w:val="left" w:pos="567" w:leader="none"/>
        </w:tabs>
        <w:ind w:hanging="567" w:start="567" w:end="0"/>
        <w:rPr>
          <w:sz w:val="24"/>
        </w:rPr>
      </w:pPr>
      <w:r>
        <w:rPr>
          <w:sz w:val="24"/>
        </w:rPr>
      </w:r>
    </w:p>
    <w:p>
      <w:pPr>
        <w:pStyle w:val="Normal"/>
        <w:numPr>
          <w:ilvl w:val="1"/>
          <w:numId w:val="4"/>
        </w:numPr>
        <w:tabs>
          <w:tab w:val="clear" w:pos="720"/>
          <w:tab w:val="left" w:pos="567" w:leader="none"/>
        </w:tabs>
        <w:ind w:hanging="567" w:start="567" w:end="0"/>
        <w:rPr>
          <w:sz w:val="24"/>
        </w:rPr>
      </w:pPr>
      <w:r>
        <w:rPr>
          <w:sz w:val="24"/>
        </w:rPr>
        <w:t>Unless otherwise stated herein, the following provisions of this Agreement shall apply in relation to each of the Designated Contracts and, if a Designated Contract is a master agreement, to each transaction under such Designated Contract.</w:t>
      </w:r>
    </w:p>
    <w:p>
      <w:pPr>
        <w:pStyle w:val="Normal"/>
        <w:tabs>
          <w:tab w:val="clear" w:pos="720"/>
          <w:tab w:val="left" w:pos="567" w:leader="none"/>
        </w:tabs>
        <w:ind w:hanging="567" w:start="567" w:end="0"/>
        <w:rPr>
          <w:sz w:val="24"/>
        </w:rPr>
      </w:pPr>
      <w:r>
        <w:rPr>
          <w:sz w:val="24"/>
        </w:rPr>
      </w:r>
    </w:p>
    <w:p>
      <w:pPr>
        <w:pStyle w:val="Normal"/>
        <w:numPr>
          <w:ilvl w:val="1"/>
          <w:numId w:val="4"/>
        </w:numPr>
        <w:tabs>
          <w:tab w:val="clear" w:pos="720"/>
          <w:tab w:val="left" w:pos="567" w:leader="none"/>
        </w:tabs>
        <w:ind w:hanging="567" w:start="567" w:end="0"/>
        <w:rPr>
          <w:sz w:val="24"/>
        </w:rPr>
      </w:pPr>
      <w:r>
        <w:rPr>
          <w:sz w:val="24"/>
        </w:rPr>
        <w:t>The parties may, by completing and executing a notice in the form of Schedule 2, designate any contract which is a Designated Contract as not being subject to this Agreement. In such case, such contract shall be deemed not to be a Designated Contract for the purpose of this Agreement. For the avoidance of doubt, such a notice may be included in a confirmation between the parties, but shall be effective only if such confirmation is executed by them both.</w:t>
      </w:r>
    </w:p>
    <w:p>
      <w:pPr>
        <w:pStyle w:val="Header"/>
        <w:tabs>
          <w:tab w:val="clear" w:pos="4153"/>
          <w:tab w:val="clear" w:pos="8306"/>
        </w:tabs>
        <w:spacing w:lineRule="auto" w:line="360"/>
        <w:rPr>
          <w:sz w:val="24"/>
        </w:rPr>
      </w:pPr>
      <w:r>
        <w:rPr>
          <w:sz w:val="24"/>
        </w:rPr>
      </w:r>
    </w:p>
    <w:p>
      <w:pPr>
        <w:pStyle w:val="Heading1"/>
        <w:ind w:hanging="0" w:start="0"/>
        <w:rPr>
          <w:sz w:val="24"/>
        </w:rPr>
      </w:pPr>
      <w:bookmarkStart w:id="2" w:name="__RefHeading___Toc438630978"/>
      <w:bookmarkEnd w:id="2"/>
      <w:r>
        <w:rPr>
          <w:sz w:val="24"/>
        </w:rPr>
        <w:t>3.</w:t>
        <w:tab/>
        <w:t>Single Agreement</w:t>
      </w:r>
    </w:p>
    <w:p>
      <w:pPr>
        <w:pStyle w:val="Normal"/>
        <w:rPr>
          <w:b/>
          <w:sz w:val="24"/>
        </w:rPr>
      </w:pPr>
      <w:r>
        <w:rPr>
          <w:b/>
          <w:sz w:val="24"/>
        </w:rPr>
      </w:r>
    </w:p>
    <w:p>
      <w:pPr>
        <w:pStyle w:val="Normal"/>
        <w:ind w:start="567" w:end="0"/>
        <w:rPr>
          <w:sz w:val="24"/>
        </w:rPr>
      </w:pPr>
      <w:r>
        <w:rPr>
          <w:sz w:val="24"/>
        </w:rPr>
        <w:t>This Agreement, each Designated Contract and (if such Designated Contract is a master agreement) each transaction thereunder, each Collateral Agreement and all amendments to any of the foregoing shall together constitute a single agreement between the parties.  Both parties acknowledge that each such Designated Contract and (if such Designated Contract is a master agreement) each transaction thereunder and each Collateral Agreement is entered into in reliance upon the fact that all of the foregoing together constitute a single agreement between the parties.  Each Designated Contract entered into after the date of this Agreement shall constitute an amendment to such single agreement.</w:t>
      </w:r>
    </w:p>
    <w:p>
      <w:pPr>
        <w:pStyle w:val="Normal"/>
        <w:tabs>
          <w:tab w:val="clear" w:pos="720"/>
          <w:tab w:val="left" w:pos="567" w:leader="none"/>
        </w:tabs>
        <w:spacing w:lineRule="auto" w:line="360"/>
        <w:ind w:hanging="567" w:start="567" w:end="0"/>
        <w:rPr>
          <w:sz w:val="24"/>
        </w:rPr>
      </w:pPr>
      <w:r>
        <w:rPr>
          <w:sz w:val="24"/>
        </w:rPr>
      </w:r>
    </w:p>
    <w:p>
      <w:pPr>
        <w:pStyle w:val="Heading1"/>
        <w:ind w:hanging="0" w:start="0"/>
        <w:rPr>
          <w:sz w:val="24"/>
        </w:rPr>
      </w:pPr>
      <w:bookmarkStart w:id="3" w:name="__RefHeading___Toc438630979"/>
      <w:bookmarkEnd w:id="3"/>
      <w:r>
        <w:rPr>
          <w:sz w:val="24"/>
        </w:rPr>
        <w:t>4.</w:t>
        <w:tab/>
        <w:t>Cross Default and Close-out Netting or Suspension</w:t>
      </w:r>
    </w:p>
    <w:p>
      <w:pPr>
        <w:pStyle w:val="Normal"/>
        <w:spacing w:before="240" w:after="0"/>
        <w:ind w:hanging="720" w:start="720" w:end="0"/>
        <w:rPr/>
      </w:pPr>
      <w:r>
        <w:rPr>
          <w:sz w:val="24"/>
        </w:rPr>
        <w:t>4.1</w:t>
        <w:tab/>
        <w:t>If a party (the “</w:t>
      </w:r>
      <w:r>
        <w:rPr>
          <w:b/>
          <w:sz w:val="24"/>
        </w:rPr>
        <w:t>Non-defaulting Party</w:t>
      </w:r>
      <w:r>
        <w:rPr>
          <w:sz w:val="24"/>
        </w:rPr>
        <w:t>”) is entitled to terminate any Designated Contract, or if that Designated Contract automatically terminates, in each case as a result of an Event of Default having occurred in relation to the other party (the “</w:t>
      </w:r>
      <w:r>
        <w:rPr>
          <w:b/>
          <w:sz w:val="24"/>
        </w:rPr>
        <w:t>Defaulting Party</w:t>
      </w:r>
      <w:r>
        <w:rPr>
          <w:sz w:val="24"/>
        </w:rPr>
        <w:t>”), then the Non-defaulting Party shall be entitled in its absolute discretion to Close-out all Designated Contracts in accordance with each such Designated Contract’s Close-out provisions or, if a Designated Contract does not provide for or effect Close-out, the Close-out provisions set out in Clause 6.  Such Close-out shall be effected as at such time and date (the “</w:t>
      </w:r>
      <w:r>
        <w:rPr>
          <w:b/>
          <w:sz w:val="24"/>
        </w:rPr>
        <w:t>Close-out Time</w:t>
      </w:r>
      <w:r>
        <w:rPr>
          <w:sz w:val="24"/>
        </w:rPr>
        <w:t>”) as the Non-defaulting Party shall specify, being no earlier than the date on which the Non-defaulting party exercises its entitlement to Close out all Designated Contracts and no later than five Business Days thereafter.</w:t>
      </w:r>
    </w:p>
    <w:p>
      <w:pPr>
        <w:pStyle w:val="Header"/>
        <w:tabs>
          <w:tab w:val="clear" w:pos="4153"/>
          <w:tab w:val="clear" w:pos="8306"/>
        </w:tabs>
        <w:spacing w:before="120" w:after="0"/>
        <w:rPr>
          <w:sz w:val="24"/>
        </w:rPr>
      </w:pPr>
      <w:r>
        <w:rPr>
          <w:sz w:val="24"/>
        </w:rPr>
      </w:r>
    </w:p>
    <w:p>
      <w:pPr>
        <w:pStyle w:val="Normal"/>
        <w:spacing w:before="0" w:after="240"/>
        <w:ind w:hanging="567" w:start="567" w:end="0"/>
        <w:rPr>
          <w:spacing w:val="-2"/>
          <w:sz w:val="24"/>
        </w:rPr>
      </w:pPr>
      <w:r>
        <w:rPr>
          <w:spacing w:val="-2"/>
          <w:sz w:val="24"/>
        </w:rPr>
        <w:t>4.2</w:t>
        <w:tab/>
        <w:t>If the Non-defaulting Party is entitled to suspend performance of its obligations under a Designated Contract as the result of an Event of Default having occurred in relation to the Defaulting Party, then the Non-defaulting Party shall, for so long as such right of suspension continues, be entitled to suspend performance of its payment and delivery obligations under any or all other Designated Contracts. The exercise by the Non-defaulting Party of its rights under this Clause 4.2 shall not prevent it from subsequently exercising its rights under Clause 4.1 in respect of that Event of Default.</w:t>
      </w:r>
    </w:p>
    <w:p>
      <w:pPr>
        <w:pStyle w:val="Heading1"/>
        <w:ind w:hanging="0" w:start="0"/>
        <w:rPr>
          <w:sz w:val="24"/>
        </w:rPr>
      </w:pPr>
      <w:bookmarkStart w:id="4" w:name="__RefHeading___Toc438630980"/>
      <w:bookmarkEnd w:id="4"/>
      <w:r>
        <w:rPr>
          <w:sz w:val="24"/>
        </w:rPr>
        <w:t>5.</w:t>
        <w:tab/>
        <w:t>Set-off of Close-out Amounts</w:t>
      </w:r>
    </w:p>
    <w:p>
      <w:pPr>
        <w:pStyle w:val="Normal"/>
        <w:tabs>
          <w:tab w:val="clear" w:pos="720"/>
          <w:tab w:val="left" w:pos="567" w:leader="none"/>
        </w:tabs>
        <w:ind w:hanging="567" w:start="567" w:end="0"/>
        <w:rPr>
          <w:sz w:val="24"/>
        </w:rPr>
      </w:pPr>
      <w:r>
        <w:rPr>
          <w:sz w:val="24"/>
        </w:rPr>
      </w:r>
    </w:p>
    <w:p>
      <w:pPr>
        <w:pStyle w:val="Normal"/>
        <w:numPr>
          <w:ilvl w:val="1"/>
          <w:numId w:val="6"/>
        </w:numPr>
        <w:spacing w:before="0" w:after="240"/>
        <w:ind w:hanging="573" w:start="573" w:end="0"/>
        <w:rPr>
          <w:sz w:val="24"/>
        </w:rPr>
      </w:pPr>
      <w:r>
        <w:rPr>
          <w:sz w:val="24"/>
        </w:rPr>
        <w:t>Subject to Clause 5.2, if two or more Designated Contracts have been Closed out, the resulting Close-out Amounts shall be set off against one another to produce a single net sum payable by one party to the other party. Such set-off shall be without prejudice to any other rights of, or remedies available to, the Non-defaulting Party. Clause 9.2 shall apply in relation to such set off.</w:t>
      </w:r>
    </w:p>
    <w:p>
      <w:pPr>
        <w:pStyle w:val="Normal"/>
        <w:rPr>
          <w:sz w:val="24"/>
        </w:rPr>
      </w:pPr>
      <w:r>
        <w:rPr>
          <w:sz w:val="24"/>
        </w:rPr>
        <w:t>5.2</w:t>
        <w:tab/>
        <w:t>For the purpose of Clause 5.1, the following further provisions shall have effect:</w:t>
      </w:r>
    </w:p>
    <w:p>
      <w:pPr>
        <w:pStyle w:val="Normal"/>
        <w:rPr>
          <w:sz w:val="24"/>
        </w:rPr>
      </w:pPr>
      <w:r>
        <w:rPr>
          <w:sz w:val="24"/>
        </w:rPr>
      </w:r>
    </w:p>
    <w:p>
      <w:pPr>
        <w:pStyle w:val="Normal"/>
        <w:numPr>
          <w:ilvl w:val="0"/>
          <w:numId w:val="2"/>
        </w:numPr>
        <w:tabs>
          <w:tab w:val="clear" w:pos="720"/>
          <w:tab w:val="left" w:pos="1429" w:leader="none"/>
        </w:tabs>
        <w:ind w:hanging="720" w:start="1429" w:end="0"/>
        <w:rPr>
          <w:sz w:val="24"/>
        </w:rPr>
      </w:pPr>
      <w:r>
        <w:rPr>
          <w:b/>
          <w:sz w:val="24"/>
        </w:rPr>
        <w:t>Collateral</w:t>
      </w:r>
    </w:p>
    <w:p>
      <w:pPr>
        <w:pStyle w:val="Normal"/>
        <w:rPr>
          <w:sz w:val="24"/>
        </w:rPr>
      </w:pPr>
      <w:r>
        <w:rPr>
          <w:sz w:val="24"/>
        </w:rPr>
      </w:r>
    </w:p>
    <w:p>
      <w:pPr>
        <w:pStyle w:val="Normal"/>
        <w:ind w:start="709" w:end="0"/>
        <w:rPr>
          <w:sz w:val="24"/>
        </w:rPr>
      </w:pPr>
      <w:r>
        <w:rPr>
          <w:sz w:val="24"/>
        </w:rPr>
        <w:t>An amount equal to the value of Collateral which has been transferred to a Collateral Recipient will (to the extent it has not already been included within a Close-out Amount) be deemed to be a further Close-out Amount owed by the Collateral Recipient to the Collateral Provider and shall be subject to set off under Clause 5.1.  For the purpose of valuing Collateral, where the Collateral has been provided on terms which specify what cash value is to be attributed to it, those terms shall apply to its valuation.  Otherwise, the value of any Collateral shall be its fair market value, as reasonably determined by the Non-defaulting Party.</w:t>
      </w:r>
    </w:p>
    <w:p>
      <w:pPr>
        <w:pStyle w:val="Normal"/>
        <w:ind w:start="709" w:end="0"/>
        <w:rPr>
          <w:sz w:val="24"/>
        </w:rPr>
      </w:pPr>
      <w:r>
        <w:rPr>
          <w:sz w:val="24"/>
        </w:rPr>
      </w:r>
    </w:p>
    <w:p>
      <w:pPr>
        <w:pStyle w:val="Normal"/>
        <w:keepNext w:val="true"/>
        <w:numPr>
          <w:ilvl w:val="0"/>
          <w:numId w:val="12"/>
        </w:numPr>
        <w:tabs>
          <w:tab w:val="clear" w:pos="720"/>
          <w:tab w:val="left" w:pos="1429" w:leader="none"/>
        </w:tabs>
        <w:ind w:hanging="720" w:start="1429" w:end="0"/>
        <w:rPr>
          <w:sz w:val="24"/>
        </w:rPr>
      </w:pPr>
      <w:r>
        <w:rPr>
          <w:b/>
          <w:sz w:val="24"/>
        </w:rPr>
        <w:t>Secured</w:t>
      </w:r>
      <w:r>
        <w:rPr>
          <w:sz w:val="24"/>
        </w:rPr>
        <w:t xml:space="preserve"> </w:t>
      </w:r>
      <w:r>
        <w:rPr>
          <w:b/>
          <w:sz w:val="24"/>
        </w:rPr>
        <w:t>Contracts</w:t>
      </w:r>
    </w:p>
    <w:p>
      <w:pPr>
        <w:pStyle w:val="Normal"/>
        <w:keepNext w:val="true"/>
        <w:rPr>
          <w:sz w:val="24"/>
        </w:rPr>
      </w:pPr>
      <w:r>
        <w:rPr>
          <w:sz w:val="24"/>
        </w:rPr>
      </w:r>
    </w:p>
    <w:p>
      <w:pPr>
        <w:pStyle w:val="Normal"/>
        <w:ind w:start="709" w:end="0"/>
        <w:rPr>
          <w:sz w:val="24"/>
        </w:rPr>
      </w:pPr>
      <w:r>
        <w:rPr>
          <w:sz w:val="24"/>
        </w:rPr>
        <w:t>Secured Contracts shall be subject to Close-out.  If Security has been provided by the Defaulting Party and the Close-out Amount under the Secured Contract is owed to the Non-defaulting Party, the Non-defaulting Party shall be entitled in its absolute discretion either (a) to exclude the Close-out Amount from set-off pursuant to Clause 5.1 and rely on its Security (without prejudice to its rights against the Defaulting Party for payment of that Close-out Amount or any unsatisfied balance thereof) or (b) to include the Close-out Amount within the set off pursuant to Clause 5.1.  If the Close-out Amount under a Secured Contract is owed to the Defaulting Party, it shall be included within the set off pursuant to Clause 5.1.</w:t>
      </w:r>
    </w:p>
    <w:p>
      <w:pPr>
        <w:pStyle w:val="Normal"/>
        <w:ind w:start="709" w:end="0"/>
        <w:rPr>
          <w:sz w:val="24"/>
        </w:rPr>
      </w:pPr>
      <w:r>
        <w:rPr>
          <w:sz w:val="24"/>
        </w:rPr>
      </w:r>
    </w:p>
    <w:p>
      <w:pPr>
        <w:pStyle w:val="Normal"/>
        <w:numPr>
          <w:ilvl w:val="0"/>
          <w:numId w:val="12"/>
        </w:numPr>
        <w:tabs>
          <w:tab w:val="clear" w:pos="720"/>
          <w:tab w:val="left" w:pos="1429" w:leader="none"/>
        </w:tabs>
        <w:ind w:hanging="720" w:start="1429" w:end="0"/>
        <w:rPr>
          <w:sz w:val="24"/>
        </w:rPr>
      </w:pPr>
      <w:r>
        <w:rPr>
          <w:b/>
          <w:sz w:val="24"/>
        </w:rPr>
        <w:t>Third Party Credit Support</w:t>
      </w:r>
    </w:p>
    <w:p>
      <w:pPr>
        <w:pStyle w:val="Normal"/>
        <w:rPr>
          <w:sz w:val="24"/>
        </w:rPr>
      </w:pPr>
      <w:r>
        <w:rPr>
          <w:sz w:val="24"/>
        </w:rPr>
      </w:r>
    </w:p>
    <w:p>
      <w:pPr>
        <w:pStyle w:val="Normal"/>
        <w:ind w:hanging="709" w:start="709" w:end="0"/>
        <w:rPr>
          <w:sz w:val="24"/>
        </w:rPr>
      </w:pPr>
      <w:r>
        <w:rPr>
          <w:sz w:val="24"/>
        </w:rPr>
        <w:tab/>
        <w:t>Designated Contracts in respect of which Third Party Credit Support has been provided shall be subject to Close-out.  If the Close-out Amount under such a Designated Contract is owed to the Non-defaulting Party and the Non-defaulting Party has the benefit of Third Party Credit Support in relation to that Designated Contract, the Non-defaulting Party shall be entitled in its absolute discretion either (a) to exclude the Close-out Amount from set off pursuant to Clause 5.1 and rely on its Third Party Credit Support (without prejudice to its rights against the Defaulting Party for payment of that Close-out Amount or any unsatisfied balance thereof) or (b) to include the Close-out Amount within the set off pursuant to Clause 5.1.  If the Close-out Amount is owed to the Defaulting Party, it shall be included within the set off pursuant to Clause 5.1.</w:t>
      </w:r>
    </w:p>
    <w:p>
      <w:pPr>
        <w:pStyle w:val="Normal"/>
        <w:spacing w:before="0" w:after="240"/>
        <w:ind w:hanging="573" w:start="573" w:end="0"/>
        <w:rPr>
          <w:sz w:val="24"/>
        </w:rPr>
      </w:pPr>
      <w:r>
        <w:rPr>
          <w:sz w:val="24"/>
        </w:rPr>
        <w:t>5.3</w:t>
        <w:tab/>
        <w:t>The Non-defaulting Party shall provide the Defaulting Party with a statement showing each Close-out Amount, its method of calculation and the net sum resulting from the operation of Clause 5 as soon as is reasonably practicable following the Close-out of two or more Designated Contracts.</w:t>
      </w:r>
    </w:p>
    <w:p>
      <w:pPr>
        <w:pStyle w:val="Normal"/>
        <w:spacing w:before="0" w:after="240"/>
        <w:ind w:hanging="573" w:start="573" w:end="0"/>
        <w:rPr>
          <w:sz w:val="24"/>
        </w:rPr>
      </w:pPr>
      <w:r>
        <w:rPr>
          <w:sz w:val="24"/>
        </w:rPr>
        <w:t>5.4</w:t>
        <w:tab/>
        <w:t>The relevant party shall, within two Business Days of a statement being provided pursuant to Clause 5.3, pay to the other party the net resulting sum specified.  Any Close-out Amount not included in the set off pursuant to Clause 5.1 shall also be due for payment within such two Business Day period.</w:t>
      </w:r>
    </w:p>
    <w:p>
      <w:pPr>
        <w:pStyle w:val="Normal"/>
        <w:spacing w:before="0" w:after="120"/>
        <w:ind w:hanging="573" w:start="573" w:end="0"/>
        <w:rPr>
          <w:sz w:val="24"/>
        </w:rPr>
      </w:pPr>
      <w:r>
        <w:rPr>
          <w:sz w:val="24"/>
        </w:rPr>
        <w:t>5.5</w:t>
        <w:tab/>
        <w:t>The rights of the Parties under this Clause 5 shall apply without prejudice to any other right of set-off which a party may have whether by agreement, operation of law or otherwise. Nothing in Clause 5.1 or Clause 5.2 shall be effective to create a charge or other security interest.</w:t>
      </w:r>
    </w:p>
    <w:p>
      <w:pPr>
        <w:pStyle w:val="Normal"/>
        <w:rPr>
          <w:sz w:val="24"/>
        </w:rPr>
      </w:pPr>
      <w:r>
        <w:rPr>
          <w:sz w:val="24"/>
        </w:rPr>
      </w:r>
    </w:p>
    <w:p>
      <w:pPr>
        <w:pStyle w:val="Heading1"/>
        <w:ind w:hanging="0" w:start="0"/>
        <w:rPr>
          <w:sz w:val="24"/>
        </w:rPr>
      </w:pPr>
      <w:bookmarkStart w:id="5" w:name="__RefHeading___Toc438630981"/>
      <w:bookmarkEnd w:id="5"/>
      <w:r>
        <w:rPr>
          <w:sz w:val="24"/>
        </w:rPr>
        <w:t>6.</w:t>
        <w:tab/>
        <w:t>Fallback Close-out Provisions</w:t>
      </w:r>
    </w:p>
    <w:p>
      <w:pPr>
        <w:pStyle w:val="Normal"/>
        <w:tabs>
          <w:tab w:val="clear" w:pos="720"/>
          <w:tab w:val="left" w:pos="567" w:leader="none"/>
        </w:tabs>
        <w:ind w:hanging="567" w:start="567" w:end="0"/>
        <w:rPr>
          <w:spacing w:val="-2"/>
          <w:sz w:val="24"/>
        </w:rPr>
      </w:pPr>
      <w:r>
        <w:rPr>
          <w:spacing w:val="-2"/>
          <w:sz w:val="24"/>
        </w:rPr>
      </w:r>
    </w:p>
    <w:p>
      <w:pPr>
        <w:pStyle w:val="BodyTextIndent"/>
        <w:tabs>
          <w:tab w:val="clear" w:pos="0"/>
          <w:tab w:val="clear" w:pos="850"/>
          <w:tab w:val="clear" w:pos="1701"/>
          <w:tab w:val="clear" w:pos="2552"/>
          <w:tab w:val="clear" w:pos="3403"/>
          <w:tab w:val="clear" w:pos="4254"/>
          <w:tab w:val="clear" w:pos="5106"/>
          <w:tab w:val="clear" w:pos="5956"/>
          <w:tab w:val="clear" w:pos="6807"/>
          <w:tab w:val="clear" w:pos="7658"/>
          <w:tab w:val="clear" w:pos="8509"/>
          <w:tab w:val="clear" w:pos="8640"/>
        </w:tabs>
        <w:ind w:hanging="567" w:start="567" w:end="0"/>
        <w:rPr>
          <w:sz w:val="24"/>
        </w:rPr>
      </w:pPr>
      <w:r>
        <w:rPr>
          <w:sz w:val="24"/>
        </w:rPr>
        <w:t>6.1</w:t>
        <w:tab/>
        <w:t>Any Designated Contract which does not provide for or effect Close-out shall be Closed out in the circumstances specified in Clause 4.1 as follows:</w:t>
      </w:r>
    </w:p>
    <w:p>
      <w:pPr>
        <w:pStyle w:val="BodyTextIndent"/>
        <w:tabs>
          <w:tab w:val="clear" w:pos="0"/>
          <w:tab w:val="clear" w:pos="850"/>
          <w:tab w:val="clear" w:pos="1701"/>
          <w:tab w:val="clear" w:pos="2552"/>
          <w:tab w:val="clear" w:pos="3403"/>
          <w:tab w:val="clear" w:pos="4254"/>
          <w:tab w:val="clear" w:pos="5106"/>
          <w:tab w:val="clear" w:pos="5956"/>
          <w:tab w:val="clear" w:pos="6807"/>
          <w:tab w:val="clear" w:pos="7658"/>
          <w:tab w:val="clear" w:pos="8509"/>
          <w:tab w:val="clear" w:pos="8640"/>
          <w:tab w:val="left" w:pos="1134" w:leader="none"/>
        </w:tabs>
        <w:ind w:hanging="567" w:start="567" w:end="0"/>
        <w:rPr/>
      </w:pPr>
      <w:r>
        <w:rPr>
          <w:sz w:val="24"/>
        </w:rPr>
        <w:t xml:space="preserve"> </w:t>
      </w:r>
      <w:r>
        <w:rPr>
          <w:sz w:val="24"/>
        </w:rPr>
        <w:tab/>
        <w:t>(i)</w:t>
        <w:tab/>
      </w:r>
      <w:r>
        <w:rPr>
          <w:i/>
          <w:sz w:val="24"/>
        </w:rPr>
        <w:t>Termination</w:t>
      </w:r>
      <w:r>
        <w:rPr>
          <w:sz w:val="24"/>
        </w:rPr>
        <w:t>: all rights and obligations under such Designated Contract and, if such Designated Contract is a master agreement, each transaction thereunder shall terminate; and</w:t>
      </w:r>
    </w:p>
    <w:p>
      <w:pPr>
        <w:pStyle w:val="BodyTextIndent"/>
        <w:tabs>
          <w:tab w:val="clear" w:pos="0"/>
          <w:tab w:val="clear" w:pos="850"/>
          <w:tab w:val="clear" w:pos="1701"/>
          <w:tab w:val="clear" w:pos="2552"/>
          <w:tab w:val="clear" w:pos="3403"/>
          <w:tab w:val="clear" w:pos="4254"/>
          <w:tab w:val="clear" w:pos="5106"/>
          <w:tab w:val="clear" w:pos="5956"/>
          <w:tab w:val="clear" w:pos="6807"/>
          <w:tab w:val="clear" w:pos="7658"/>
          <w:tab w:val="clear" w:pos="8509"/>
          <w:tab w:val="clear" w:pos="8640"/>
        </w:tabs>
        <w:ind w:hanging="567" w:start="1134" w:end="0"/>
        <w:rPr/>
      </w:pPr>
      <w:r>
        <w:rPr>
          <w:sz w:val="24"/>
        </w:rPr>
        <w:t>(ii)</w:t>
        <w:tab/>
      </w:r>
      <w:r>
        <w:rPr>
          <w:i/>
          <w:sz w:val="24"/>
        </w:rPr>
        <w:t>Market Quotation</w:t>
      </w:r>
    </w:p>
    <w:p>
      <w:pPr>
        <w:pStyle w:val="BodyTextIndent"/>
        <w:tabs>
          <w:tab w:val="clear" w:pos="0"/>
          <w:tab w:val="clear" w:pos="850"/>
          <w:tab w:val="clear" w:pos="1701"/>
          <w:tab w:val="clear" w:pos="2552"/>
          <w:tab w:val="clear" w:pos="3403"/>
          <w:tab w:val="clear" w:pos="4254"/>
          <w:tab w:val="clear" w:pos="5106"/>
          <w:tab w:val="clear" w:pos="5956"/>
          <w:tab w:val="clear" w:pos="6807"/>
          <w:tab w:val="clear" w:pos="7658"/>
          <w:tab w:val="clear" w:pos="8509"/>
          <w:tab w:val="clear" w:pos="8640"/>
        </w:tabs>
        <w:ind w:hanging="567" w:start="1134" w:end="0"/>
        <w:jc w:val="start"/>
        <w:rPr>
          <w:sz w:val="24"/>
        </w:rPr>
      </w:pPr>
      <w:r>
        <w:rPr>
          <w:sz w:val="24"/>
        </w:rPr>
        <w:t>(a)</w:t>
        <w:tab/>
        <w:t>The Non-defaulting party shall determine the value as at the Close-out Time of the Designated Contract or, if such Designated Contract is a master agreement, each transaction thereunder, on the basis of quotations received from three reputable participants in the relevant market as selected in good faith by the Non-defaulting Party. Each quotation will be for an amount, if any, that would be paid by the Non-defaulting Party or to the Non-defaulting Party to enter into a replacement transaction with that participant that would have the effect of preserving for the Non-defaulting Party the economic effect of any payments or deliveries (whether the underlying obligation is absolute or contingent and assuming the satisfaction of each applicable condition precedent) that would have been required under such Designated Contract or each transaction thereunder (as the case may be) after the  Close-out Time. Payments and deliveries due prior to the Close-out Time shall be excluded from this calculation and valued in accordance with the paragraph (b) below.  For the purpose of determining the Close-out Amount, the middle of the three quotations shall be used, and the highest and the lowest quotation shall be disregarded.  If more than one quotation has the same highest or lowest value, one of them shall be disregarded;</w:t>
      </w:r>
    </w:p>
    <w:p>
      <w:pPr>
        <w:pStyle w:val="Normal"/>
        <w:numPr>
          <w:ilvl w:val="0"/>
          <w:numId w:val="3"/>
        </w:numPr>
        <w:spacing w:before="0" w:after="240"/>
        <w:rPr>
          <w:sz w:val="24"/>
        </w:rPr>
      </w:pPr>
      <w:r>
        <w:rPr>
          <w:spacing w:val="-2"/>
          <w:sz w:val="24"/>
        </w:rPr>
        <w:t xml:space="preserve">The Non-defaulting Party shall apply daily compounding interest, at a </w:t>
      </w:r>
      <w:r>
        <w:rPr>
          <w:sz w:val="24"/>
        </w:rPr>
        <w:t xml:space="preserve">commercially reasonable rate, from the due date of payment or delivery (as the case may be) to the </w:t>
      </w:r>
      <w:r>
        <w:rPr>
          <w:spacing w:val="-2"/>
          <w:sz w:val="24"/>
        </w:rPr>
        <w:t xml:space="preserve"> Close-out Time to:</w:t>
      </w:r>
    </w:p>
    <w:p>
      <w:pPr>
        <w:pStyle w:val="BodyTextIndent"/>
        <w:tabs>
          <w:tab w:val="clear" w:pos="0"/>
          <w:tab w:val="clear" w:pos="850"/>
          <w:tab w:val="clear" w:pos="1701"/>
          <w:tab w:val="clear" w:pos="2552"/>
          <w:tab w:val="clear" w:pos="3403"/>
          <w:tab w:val="clear" w:pos="4254"/>
          <w:tab w:val="clear" w:pos="5106"/>
          <w:tab w:val="clear" w:pos="5956"/>
          <w:tab w:val="clear" w:pos="6807"/>
          <w:tab w:val="clear" w:pos="7658"/>
          <w:tab w:val="clear" w:pos="8509"/>
          <w:tab w:val="clear" w:pos="8640"/>
        </w:tabs>
        <w:ind w:hanging="555" w:start="1692" w:end="0"/>
        <w:rPr>
          <w:sz w:val="24"/>
        </w:rPr>
      </w:pPr>
      <w:r>
        <w:rPr>
          <w:sz w:val="24"/>
        </w:rPr>
        <w:t>(A)</w:t>
        <w:tab/>
        <w:t xml:space="preserve">payments that became due prior to the Close-out Time, on the amount of such payment; and </w:t>
      </w:r>
    </w:p>
    <w:p>
      <w:pPr>
        <w:pStyle w:val="BodyTextIndent"/>
        <w:tabs>
          <w:tab w:val="clear" w:pos="0"/>
          <w:tab w:val="clear" w:pos="850"/>
          <w:tab w:val="clear" w:pos="1701"/>
          <w:tab w:val="clear" w:pos="2552"/>
          <w:tab w:val="clear" w:pos="3403"/>
          <w:tab w:val="clear" w:pos="4254"/>
          <w:tab w:val="clear" w:pos="5106"/>
          <w:tab w:val="clear" w:pos="5956"/>
          <w:tab w:val="clear" w:pos="6807"/>
          <w:tab w:val="clear" w:pos="7658"/>
          <w:tab w:val="clear" w:pos="8509"/>
          <w:tab w:val="clear" w:pos="8640"/>
        </w:tabs>
        <w:ind w:hanging="555" w:start="1692" w:end="0"/>
        <w:rPr>
          <w:sz w:val="24"/>
        </w:rPr>
      </w:pPr>
      <w:r>
        <w:rPr>
          <w:sz w:val="24"/>
        </w:rPr>
        <w:t>(B)</w:t>
        <w:tab/>
        <w:t>deliveries due prior to the  Close-out Time, on an amount equal to such delivery’s fair market value, as reasonably determined by the Non-defaulting Party as of the originally scheduled delivery date.</w:t>
      </w:r>
    </w:p>
    <w:p>
      <w:pPr>
        <w:pStyle w:val="BodyTextIndent"/>
        <w:tabs>
          <w:tab w:val="clear" w:pos="0"/>
          <w:tab w:val="clear" w:pos="850"/>
          <w:tab w:val="clear" w:pos="1701"/>
          <w:tab w:val="clear" w:pos="2552"/>
          <w:tab w:val="clear" w:pos="3403"/>
          <w:tab w:val="clear" w:pos="4254"/>
          <w:tab w:val="clear" w:pos="5106"/>
          <w:tab w:val="clear" w:pos="5956"/>
          <w:tab w:val="clear" w:pos="6807"/>
          <w:tab w:val="clear" w:pos="7658"/>
          <w:tab w:val="clear" w:pos="8509"/>
          <w:tab w:val="clear" w:pos="8640"/>
        </w:tabs>
        <w:ind w:hanging="0" w:start="1140" w:end="0"/>
        <w:rPr>
          <w:sz w:val="24"/>
        </w:rPr>
      </w:pPr>
      <w:r>
        <w:rPr>
          <w:sz w:val="24"/>
        </w:rPr>
        <w:t xml:space="preserve">The value of a payment or delivery due prior to the Close-out Time shall be the relevant amount referred to in (A) or (B) together with interest as aforesaid. </w:t>
      </w:r>
    </w:p>
    <w:p>
      <w:pPr>
        <w:pStyle w:val="Normal"/>
        <w:numPr>
          <w:ilvl w:val="0"/>
          <w:numId w:val="3"/>
        </w:numPr>
        <w:rPr>
          <w:sz w:val="24"/>
        </w:rPr>
      </w:pPr>
      <w:r>
        <w:rPr>
          <w:sz w:val="24"/>
        </w:rPr>
        <w:t>The values of payments and deliveries which would have been required under Such Designated Contract or transaction after the Close-out Time and of payments and deliveries due under such Designated Contract or transaction prior to the Close-out Time, determined in accordance with Paragraphs (a) and (b) above, shall be aggregated and set off against one another to produce a single net sum (if any) payable by one party to the other in respect of such Designated Contract or transaction and such net sum shall be a Close-out Amount for the purposes of this Agreement.  Clause 9.2 shall apply in relation to such set off.</w:t>
        <w:br/>
      </w:r>
    </w:p>
    <w:p>
      <w:pPr>
        <w:pStyle w:val="Normal"/>
        <w:tabs>
          <w:tab w:val="clear" w:pos="720"/>
          <w:tab w:val="left" w:pos="1134" w:leader="none"/>
        </w:tabs>
        <w:ind w:hanging="567" w:start="1134" w:end="0"/>
        <w:rPr/>
      </w:pPr>
      <w:r>
        <w:rPr>
          <w:spacing w:val="-2"/>
          <w:sz w:val="24"/>
        </w:rPr>
        <w:t>(iii)</w:t>
        <w:tab/>
      </w:r>
      <w:r>
        <w:rPr>
          <w:i/>
          <w:spacing w:val="-2"/>
          <w:sz w:val="24"/>
        </w:rPr>
        <w:t>Loss and Cost</w:t>
      </w:r>
      <w:r>
        <w:rPr>
          <w:spacing w:val="-2"/>
          <w:sz w:val="24"/>
        </w:rPr>
        <w:t xml:space="preserve">: If the Non-defaulting party cannot obtain at least three quotations pursuant to Clause 6.1(a), it shall calculate an amount that it reasonably determines in good faith to be its total net loss and cost or, as the case may be, net gain resulting from the termination of all rights and obligations under the Designated Contract (or in the case of a master agreement, the applicable transactions outstanding thereunder) (including payments and deliveries due prior to the Close-out Time and including any loss of bargain, cost of funding, legal fees reasonably incurred or, without duplication, loss or cost incurred as a result of its terminating, liquidating, obtaining or re-establishing any hedge or related trading position) and such total net loss and cost or, as the case may be, net gain shall be a Close-out Amount for the purposes of this Agreement.  </w:t>
      </w:r>
    </w:p>
    <w:p>
      <w:pPr>
        <w:pStyle w:val="Normal"/>
        <w:spacing w:lineRule="auto" w:line="360"/>
        <w:ind w:hanging="567" w:start="567" w:end="0"/>
        <w:rPr>
          <w:spacing w:val="-2"/>
          <w:sz w:val="24"/>
        </w:rPr>
      </w:pPr>
      <w:r>
        <w:rPr>
          <w:spacing w:val="-2"/>
          <w:sz w:val="24"/>
        </w:rPr>
      </w:r>
    </w:p>
    <w:p>
      <w:pPr>
        <w:pStyle w:val="Heading1"/>
        <w:ind w:hanging="0" w:start="0"/>
        <w:rPr>
          <w:sz w:val="24"/>
        </w:rPr>
      </w:pPr>
      <w:bookmarkStart w:id="6" w:name="__RefHeading___Toc438630982"/>
      <w:bookmarkEnd w:id="6"/>
      <w:r>
        <w:rPr>
          <w:sz w:val="24"/>
        </w:rPr>
        <w:t>7.</w:t>
        <w:tab/>
        <w:t>Payment, Delivery and Nomination Netting</w:t>
      </w:r>
    </w:p>
    <w:p>
      <w:pPr>
        <w:pStyle w:val="Normal"/>
        <w:tabs>
          <w:tab w:val="clear" w:pos="720"/>
          <w:tab w:val="left" w:pos="567" w:leader="none"/>
        </w:tabs>
        <w:ind w:hanging="567" w:start="567" w:end="0"/>
        <w:rPr>
          <w:spacing w:val="-2"/>
          <w:sz w:val="24"/>
        </w:rPr>
      </w:pPr>
      <w:r>
        <w:rPr>
          <w:spacing w:val="-2"/>
          <w:sz w:val="24"/>
        </w:rPr>
      </w:r>
    </w:p>
    <w:p>
      <w:pPr>
        <w:pStyle w:val="Normal"/>
        <w:ind w:hanging="570" w:start="570" w:end="0"/>
        <w:rPr>
          <w:spacing w:val="-2"/>
          <w:sz w:val="24"/>
        </w:rPr>
      </w:pPr>
      <w:r>
        <w:rPr>
          <w:spacing w:val="-2"/>
          <w:sz w:val="24"/>
        </w:rPr>
        <w:t>7.1</w:t>
        <w:tab/>
        <w:t>If on any date sums denominated in the same currency are payable by both parties pursuant to one or more Designated Contracts, then each party shall aggregate such sums payable by it and only the difference, if any, between these aggregate sums shall be paid by the party obliged to pay the larger aggregate sum to the other party.</w:t>
      </w:r>
    </w:p>
    <w:p>
      <w:pPr>
        <w:pStyle w:val="Normal"/>
        <w:rPr>
          <w:spacing w:val="-2"/>
          <w:sz w:val="24"/>
        </w:rPr>
      </w:pPr>
      <w:r>
        <w:rPr>
          <w:spacing w:val="-2"/>
          <w:sz w:val="24"/>
        </w:rPr>
      </w:r>
    </w:p>
    <w:p>
      <w:pPr>
        <w:pStyle w:val="Normal"/>
        <w:ind w:hanging="570" w:start="570" w:end="0"/>
        <w:rPr>
          <w:spacing w:val="-2"/>
          <w:sz w:val="24"/>
        </w:rPr>
      </w:pPr>
      <w:r>
        <w:rPr>
          <w:spacing w:val="-2"/>
          <w:sz w:val="24"/>
        </w:rPr>
        <w:t>7.2</w:t>
        <w:tab/>
        <w:t>If on any date quantities of any commodity having the same quality, purity and delivery location, are deliverable by both parties pursuant to one or more Designated Contracts, then each party shall aggregate the amounts of such commodity deliverable by it and only the difference, if any, between these aggregate amounts shall be delivered by the party obliged to deliver the larger aggregate amount to the other party.</w:t>
      </w:r>
    </w:p>
    <w:p>
      <w:pPr>
        <w:pStyle w:val="Normal"/>
        <w:rPr>
          <w:spacing w:val="-2"/>
          <w:sz w:val="24"/>
        </w:rPr>
      </w:pPr>
      <w:r>
        <w:rPr>
          <w:spacing w:val="-2"/>
          <w:sz w:val="24"/>
        </w:rPr>
      </w:r>
    </w:p>
    <w:p>
      <w:pPr>
        <w:pStyle w:val="Normal"/>
        <w:ind w:hanging="570" w:start="570" w:end="0"/>
        <w:rPr>
          <w:spacing w:val="-2"/>
          <w:sz w:val="24"/>
        </w:rPr>
      </w:pPr>
      <w:r>
        <w:rPr>
          <w:spacing w:val="-2"/>
          <w:sz w:val="24"/>
        </w:rPr>
        <w:t>7.3</w:t>
        <w:tab/>
        <w:t>In respect of Natural Gas the delivery point for which is the NBP:</w:t>
      </w:r>
    </w:p>
    <w:p>
      <w:pPr>
        <w:pStyle w:val="Normal"/>
        <w:ind w:hanging="570" w:start="570" w:end="0"/>
        <w:rPr>
          <w:spacing w:val="-2"/>
          <w:sz w:val="24"/>
        </w:rPr>
      </w:pPr>
      <w:r>
        <w:rPr>
          <w:spacing w:val="-2"/>
          <w:sz w:val="24"/>
        </w:rPr>
      </w:r>
    </w:p>
    <w:p>
      <w:pPr>
        <w:pStyle w:val="Normal"/>
        <w:ind w:hanging="570" w:start="1140" w:end="0"/>
        <w:rPr>
          <w:spacing w:val="-2"/>
          <w:sz w:val="24"/>
        </w:rPr>
      </w:pPr>
      <w:r>
        <w:rPr>
          <w:spacing w:val="-2"/>
          <w:sz w:val="24"/>
        </w:rPr>
        <w:t xml:space="preserve">(i) </w:t>
        <w:tab/>
        <w:t>neither party shall be required to make an Acquiring Trade Nomination on any Trade Day except for a quantity of Natural Gas (exceeding zero therms) equal to the aggregate of the quantities of Natural Gas for which that party is, under all Designated Contracts (without regard to this Clause 7.3), required to make such a nomination, less a quantity of Natural Gas equal to the aggregate of the quantities of Natural Gas in respect of which that party is required (without regard to this Clause 7.3) to make a Disposing Trade Nomination on that Trade Day; and</w:t>
      </w:r>
    </w:p>
    <w:p>
      <w:pPr>
        <w:pStyle w:val="Normal"/>
        <w:ind w:hanging="570" w:start="1140" w:end="0"/>
        <w:rPr>
          <w:spacing w:val="-2"/>
          <w:sz w:val="24"/>
        </w:rPr>
      </w:pPr>
      <w:r>
        <w:rPr>
          <w:spacing w:val="-2"/>
          <w:sz w:val="24"/>
        </w:rPr>
      </w:r>
    </w:p>
    <w:p>
      <w:pPr>
        <w:pStyle w:val="Normal"/>
        <w:numPr>
          <w:ilvl w:val="0"/>
          <w:numId w:val="2"/>
        </w:numPr>
        <w:tabs>
          <w:tab w:val="clear" w:pos="720"/>
          <w:tab w:val="left" w:pos="1140" w:leader="none"/>
        </w:tabs>
        <w:ind w:hanging="630" w:start="1140" w:end="0"/>
        <w:rPr>
          <w:spacing w:val="-2"/>
          <w:sz w:val="24"/>
        </w:rPr>
      </w:pPr>
      <w:r>
        <w:rPr>
          <w:spacing w:val="-2"/>
          <w:sz w:val="24"/>
        </w:rPr>
        <w:t xml:space="preserve">neither party shall be required to make a Disposing Trade Nomination on any Trade Day except in respect of a quantity of Natural Gas (exceeding zero therms) equal to the aggregate of the quantities of Natural Gas for which that Party is, under all Designated Contracts (without regard to this Clause 7.3), required to make such a nomination, less a quantity of Natural Gas equal to the aggregate of the quantities of Natural Gas in respect of which that Party is required (without regard to this Clause 7.3) to make an Acquiring Trade Nomination on that Trade Day.  </w:t>
      </w:r>
    </w:p>
    <w:p>
      <w:pPr>
        <w:pStyle w:val="Normal"/>
        <w:ind w:start="630" w:end="0"/>
        <w:rPr>
          <w:spacing w:val="-2"/>
          <w:sz w:val="24"/>
        </w:rPr>
      </w:pPr>
      <w:r>
        <w:rPr>
          <w:spacing w:val="-2"/>
          <w:sz w:val="24"/>
        </w:rPr>
      </w:r>
    </w:p>
    <w:p>
      <w:pPr>
        <w:pStyle w:val="Normal"/>
        <w:tabs>
          <w:tab w:val="clear" w:pos="720"/>
          <w:tab w:val="left" w:pos="1140" w:leader="none"/>
          <w:tab w:val="left" w:pos="1170" w:leader="none"/>
        </w:tabs>
        <w:ind w:start="570" w:end="0"/>
        <w:rPr/>
      </w:pPr>
      <w:r>
        <w:rPr>
          <w:spacing w:val="-2"/>
          <w:sz w:val="24"/>
        </w:rPr>
        <w:t>C</w:t>
      </w:r>
      <w:r>
        <w:rPr>
          <w:sz w:val="24"/>
        </w:rPr>
        <w:t>apitalized terms used</w:t>
      </w:r>
      <w:r>
        <w:rPr>
          <w:spacing w:val="-2"/>
          <w:sz w:val="24"/>
        </w:rPr>
        <w:t xml:space="preserve"> in this Clause 7.3, </w:t>
      </w:r>
      <w:r>
        <w:rPr>
          <w:sz w:val="24"/>
        </w:rPr>
        <w:t>but not defined, shall bear the meaning set out in the Network Code.</w:t>
      </w:r>
    </w:p>
    <w:p>
      <w:pPr>
        <w:pStyle w:val="Normal"/>
        <w:ind w:hanging="570" w:start="630" w:end="0"/>
        <w:rPr>
          <w:sz w:val="24"/>
        </w:rPr>
      </w:pPr>
      <w:r>
        <w:rPr>
          <w:sz w:val="24"/>
        </w:rPr>
      </w:r>
    </w:p>
    <w:p>
      <w:pPr>
        <w:pStyle w:val="Normal"/>
        <w:ind w:hanging="570" w:start="570" w:end="0"/>
        <w:rPr>
          <w:spacing w:val="-2"/>
          <w:sz w:val="24"/>
        </w:rPr>
      </w:pPr>
      <w:r>
        <w:rPr>
          <w:sz w:val="24"/>
        </w:rPr>
        <w:t>7.4</w:t>
        <w:tab/>
        <w:t>For the avoidance of doubt, this Clause 7 shall not apply following Close-out pursuant to Clause 4.1 (in which case Clause 5 shall apply).</w:t>
      </w:r>
    </w:p>
    <w:p>
      <w:pPr>
        <w:pStyle w:val="Normal"/>
        <w:tabs>
          <w:tab w:val="clear" w:pos="720"/>
          <w:tab w:val="left" w:pos="567" w:leader="none"/>
        </w:tabs>
        <w:spacing w:lineRule="auto" w:line="360"/>
        <w:ind w:hanging="567" w:start="567" w:end="0"/>
        <w:rPr>
          <w:spacing w:val="-2"/>
          <w:sz w:val="24"/>
        </w:rPr>
      </w:pPr>
      <w:r>
        <w:rPr>
          <w:spacing w:val="-2"/>
          <w:sz w:val="24"/>
        </w:rPr>
      </w:r>
    </w:p>
    <w:p>
      <w:pPr>
        <w:pStyle w:val="Heading1"/>
        <w:tabs>
          <w:tab w:val="clear" w:pos="720"/>
          <w:tab w:val="left" w:pos="567" w:leader="none"/>
        </w:tabs>
        <w:ind w:hanging="0" w:start="0"/>
        <w:rPr>
          <w:sz w:val="24"/>
        </w:rPr>
      </w:pPr>
      <w:bookmarkStart w:id="7" w:name="__RefHeading___Toc438630983"/>
      <w:bookmarkEnd w:id="7"/>
      <w:r>
        <w:rPr>
          <w:sz w:val="24"/>
        </w:rPr>
        <w:t>8.</w:t>
        <w:tab/>
        <w:t>Representations and Warranties</w:t>
      </w:r>
    </w:p>
    <w:p>
      <w:pPr>
        <w:pStyle w:val="Normal"/>
        <w:rPr>
          <w:spacing w:val="-2"/>
          <w:sz w:val="24"/>
        </w:rPr>
      </w:pPr>
      <w:r>
        <w:rPr>
          <w:spacing w:val="-2"/>
          <w:sz w:val="24"/>
        </w:rPr>
      </w:r>
    </w:p>
    <w:p>
      <w:pPr>
        <w:pStyle w:val="Normal"/>
        <w:ind w:firstLine="567" w:end="0"/>
        <w:rPr>
          <w:spacing w:val="-2"/>
          <w:sz w:val="24"/>
        </w:rPr>
      </w:pPr>
      <w:r>
        <w:rPr>
          <w:spacing w:val="-2"/>
          <w:sz w:val="24"/>
        </w:rPr>
        <w:t>Each party represents and warrants that:</w:t>
      </w:r>
    </w:p>
    <w:p>
      <w:pPr>
        <w:pStyle w:val="Normal"/>
        <w:spacing w:before="240" w:after="0"/>
        <w:ind w:hanging="873" w:start="1440" w:end="0"/>
        <w:rPr>
          <w:spacing w:val="-2"/>
          <w:sz w:val="24"/>
        </w:rPr>
      </w:pPr>
      <w:r>
        <w:rPr>
          <w:spacing w:val="-2"/>
          <w:sz w:val="24"/>
        </w:rPr>
        <w:t>(i)</w:t>
        <w:tab/>
        <w:t>it is duly organized and validly existing under the laws of the jurisdiction of its incorporation, and has the corporate power and authority to execute, deliver and carry out the terms and provisions of this Agreement;</w:t>
      </w:r>
    </w:p>
    <w:p>
      <w:pPr>
        <w:pStyle w:val="Normal"/>
        <w:ind w:hanging="426" w:start="993" w:end="0"/>
        <w:rPr>
          <w:spacing w:val="-2"/>
          <w:sz w:val="24"/>
        </w:rPr>
      </w:pPr>
      <w:r>
        <w:rPr>
          <w:spacing w:val="-2"/>
          <w:sz w:val="24"/>
        </w:rPr>
      </w:r>
    </w:p>
    <w:p>
      <w:pPr>
        <w:pStyle w:val="Normal"/>
        <w:ind w:hanging="873" w:start="1440" w:end="0"/>
        <w:rPr>
          <w:spacing w:val="-2"/>
          <w:sz w:val="24"/>
        </w:rPr>
      </w:pPr>
      <w:r>
        <w:rPr>
          <w:spacing w:val="-2"/>
          <w:sz w:val="24"/>
        </w:rPr>
        <w:t>(ii)</w:t>
        <w:tab/>
        <w:t>performance of this Agreement does not and will not violate or conflict with its charter or by-laws, any law or order of any court or other agency of government applicable to it, or any agreement to which it is a party or by which it or any of its property is bound; and</w:t>
      </w:r>
    </w:p>
    <w:p>
      <w:pPr>
        <w:pStyle w:val="Normal"/>
        <w:ind w:hanging="426" w:start="993" w:end="0"/>
        <w:rPr>
          <w:spacing w:val="-2"/>
          <w:sz w:val="24"/>
        </w:rPr>
      </w:pPr>
      <w:r>
        <w:rPr>
          <w:spacing w:val="-2"/>
          <w:sz w:val="24"/>
        </w:rPr>
      </w:r>
    </w:p>
    <w:p>
      <w:pPr>
        <w:pStyle w:val="Normal"/>
        <w:tabs>
          <w:tab w:val="clear" w:pos="720"/>
          <w:tab w:val="left" w:pos="993" w:leader="none"/>
        </w:tabs>
        <w:ind w:hanging="873" w:start="1440" w:end="0"/>
        <w:rPr>
          <w:spacing w:val="-2"/>
          <w:sz w:val="24"/>
        </w:rPr>
      </w:pPr>
      <w:r>
        <w:rPr>
          <w:spacing w:val="-2"/>
          <w:sz w:val="24"/>
        </w:rPr>
        <w:t>(iii)</w:t>
        <w:tab/>
        <w:tab/>
        <w:t>this Agreement constitutes its legally valid and binding obligation except as the enforceability of this Agreement may be limited by the effect of any applicable bankruptcy, insolvency, reorganization, moratorium or similar laws affecting creditors’ rights generally and by general principles of equity.</w:t>
      </w:r>
    </w:p>
    <w:p>
      <w:pPr>
        <w:pStyle w:val="Header"/>
        <w:tabs>
          <w:tab w:val="clear" w:pos="4153"/>
          <w:tab w:val="clear" w:pos="8306"/>
        </w:tabs>
        <w:spacing w:lineRule="auto" w:line="360"/>
        <w:rPr>
          <w:spacing w:val="-2"/>
          <w:sz w:val="24"/>
        </w:rPr>
      </w:pPr>
      <w:r>
        <w:rPr>
          <w:spacing w:val="-2"/>
          <w:sz w:val="24"/>
        </w:rPr>
      </w:r>
    </w:p>
    <w:p>
      <w:pPr>
        <w:pStyle w:val="Heading1"/>
        <w:ind w:hanging="0" w:start="0"/>
        <w:rPr>
          <w:sz w:val="24"/>
        </w:rPr>
      </w:pPr>
      <w:bookmarkStart w:id="8" w:name="__RefHeading___Toc438630984"/>
      <w:bookmarkEnd w:id="8"/>
      <w:r>
        <w:rPr>
          <w:sz w:val="24"/>
        </w:rPr>
        <w:t>9.</w:t>
        <w:tab/>
        <w:t>Payments and Set Off</w:t>
      </w:r>
    </w:p>
    <w:p>
      <w:pPr>
        <w:pStyle w:val="Normal"/>
        <w:rPr>
          <w:sz w:val="24"/>
        </w:rPr>
      </w:pPr>
      <w:r>
        <w:rPr>
          <w:sz w:val="24"/>
        </w:rPr>
      </w:r>
    </w:p>
    <w:p>
      <w:pPr>
        <w:pStyle w:val="Normal"/>
        <w:ind w:hanging="567" w:start="567" w:end="0"/>
        <w:rPr>
          <w:sz w:val="24"/>
        </w:rPr>
      </w:pPr>
      <w:r>
        <w:rPr>
          <w:sz w:val="24"/>
        </w:rPr>
        <w:t>9.1</w:t>
        <w:tab/>
        <w:t>All payments under this Agreement shall (save as otherwise contemplated by this Agreement) be made in full without any deduction or withholding (whether in respect of set off, counterclaim, duties, taxes, charges or otherwise whatsoever) unless the paying party is prohibited by law from so doing, in which event the paying party shall:</w:t>
      </w:r>
    </w:p>
    <w:p>
      <w:pPr>
        <w:pStyle w:val="Normal"/>
        <w:spacing w:before="120" w:after="0"/>
        <w:ind w:hanging="567" w:start="1134" w:end="0"/>
        <w:rPr>
          <w:sz w:val="24"/>
        </w:rPr>
      </w:pPr>
      <w:r>
        <w:rPr>
          <w:sz w:val="24"/>
        </w:rPr>
        <w:t>(i)</w:t>
        <w:tab/>
        <w:t>ensure that the deduction or withholding does not exceed the minimum amount legally required; and</w:t>
      </w:r>
    </w:p>
    <w:p>
      <w:pPr>
        <w:pStyle w:val="Normal"/>
        <w:spacing w:before="120" w:after="0"/>
        <w:ind w:hanging="567" w:start="1134" w:end="0"/>
        <w:rPr>
          <w:sz w:val="24"/>
        </w:rPr>
      </w:pPr>
      <w:r>
        <w:rPr>
          <w:sz w:val="24"/>
        </w:rPr>
        <w:t>(ii)</w:t>
        <w:tab/>
        <w:t>forthwith pay to the other party such additional amount so that the net amount received will equal the full amount which would have been received had no such deduction or withholding been made.</w:t>
      </w:r>
    </w:p>
    <w:p>
      <w:pPr>
        <w:pStyle w:val="Normal"/>
        <w:spacing w:before="120" w:after="0"/>
        <w:ind w:hanging="567" w:start="1134" w:end="0"/>
        <w:rPr>
          <w:sz w:val="24"/>
        </w:rPr>
      </w:pPr>
      <w:r>
        <w:rPr>
          <w:sz w:val="24"/>
        </w:rPr>
      </w:r>
    </w:p>
    <w:p>
      <w:pPr>
        <w:pStyle w:val="Normal"/>
        <w:ind w:hanging="567" w:start="567" w:end="0"/>
        <w:rPr>
          <w:sz w:val="24"/>
        </w:rPr>
      </w:pPr>
      <w:r>
        <w:rPr>
          <w:sz w:val="24"/>
        </w:rPr>
        <w:t>9.2</w:t>
        <w:tab/>
        <w:t>For the purpose of effecting any set off or netting hereunder (other than under Clause 7.1), the Non-defaulting Party shall be entitled to convert a currency into any other currency at the spot rate of exchange for those currencies quoted by any prime bank in the London market at the time of such set off or netting.</w:t>
      </w:r>
    </w:p>
    <w:p>
      <w:pPr>
        <w:pStyle w:val="Normal"/>
        <w:ind w:hanging="567" w:start="567" w:end="0"/>
        <w:rPr>
          <w:sz w:val="24"/>
        </w:rPr>
      </w:pPr>
      <w:r>
        <w:rPr>
          <w:sz w:val="24"/>
        </w:rPr>
      </w:r>
    </w:p>
    <w:p>
      <w:pPr>
        <w:pStyle w:val="Normal"/>
        <w:spacing w:before="120" w:after="0"/>
        <w:ind w:hanging="567" w:start="567" w:end="0"/>
        <w:rPr>
          <w:sz w:val="24"/>
        </w:rPr>
      </w:pPr>
      <w:r>
        <w:rPr>
          <w:sz w:val="24"/>
        </w:rPr>
        <w:t>9.3</w:t>
        <w:tab/>
        <w:t>Payment of (a) the single net sum referred to in Clause 5.1 or (b) a Close-out Amount (if there is only one Close-out Amount or if the Close-out Amount has been excluded from the set off under Clause 5.1) shall be made together with interest thereon at one-month LIBOR plus one per cent. per annum (as calculated by the Non-defaulting Party in a commercially reasonable manner) for the period from the Close-out Time to the due date for payment.</w:t>
      </w:r>
    </w:p>
    <w:p>
      <w:pPr>
        <w:pStyle w:val="Normal"/>
        <w:spacing w:before="120" w:after="0"/>
        <w:ind w:hanging="567" w:start="567" w:end="0"/>
        <w:rPr>
          <w:sz w:val="24"/>
        </w:rPr>
      </w:pPr>
      <w:r>
        <w:rPr>
          <w:sz w:val="24"/>
        </w:rPr>
        <w:t>9.4</w:t>
        <w:tab/>
        <w:t>Any sum required to be paid under this Agreement and not paid on its due date shall bear interest at a rate per annum equal to the cost to the payee of that sum (as certified by it) of funding the relevant amount (whether or not actually funded) plus three per cent. per annum.</w:t>
      </w:r>
    </w:p>
    <w:p>
      <w:pPr>
        <w:pStyle w:val="Normal"/>
        <w:tabs>
          <w:tab w:val="clear" w:pos="720"/>
          <w:tab w:val="left" w:pos="567" w:leader="none"/>
        </w:tabs>
        <w:spacing w:lineRule="auto" w:line="360"/>
        <w:ind w:hanging="567" w:start="567" w:end="0"/>
        <w:rPr>
          <w:b/>
          <w:sz w:val="24"/>
        </w:rPr>
      </w:pPr>
      <w:r>
        <w:rPr>
          <w:b/>
          <w:sz w:val="24"/>
        </w:rPr>
      </w:r>
    </w:p>
    <w:p>
      <w:pPr>
        <w:pStyle w:val="Heading1"/>
        <w:keepNext w:val="false"/>
        <w:keepLines w:val="false"/>
        <w:widowControl/>
        <w:ind w:hanging="0" w:start="0"/>
        <w:rPr>
          <w:sz w:val="24"/>
        </w:rPr>
      </w:pPr>
      <w:bookmarkStart w:id="9" w:name="__RefHeading___Toc438630985"/>
      <w:bookmarkEnd w:id="9"/>
      <w:r>
        <w:rPr>
          <w:sz w:val="24"/>
        </w:rPr>
        <w:t>10.</w:t>
        <w:tab/>
        <w:t>Notices</w:t>
      </w:r>
    </w:p>
    <w:p>
      <w:pPr>
        <w:pStyle w:val="Normal"/>
        <w:rPr>
          <w:sz w:val="24"/>
        </w:rPr>
      </w:pPr>
      <w:r>
        <w:rPr>
          <w:sz w:val="24"/>
        </w:rPr>
      </w:r>
    </w:p>
    <w:p>
      <w:pPr>
        <w:pStyle w:val="Normal"/>
        <w:tabs>
          <w:tab w:val="clear" w:pos="720"/>
          <w:tab w:val="left" w:pos="0" w:leader="none"/>
        </w:tabs>
        <w:suppressAutoHyphens w:val="true"/>
        <w:spacing w:before="0" w:after="240"/>
        <w:ind w:hanging="570" w:start="570" w:end="0"/>
        <w:jc w:val="both"/>
        <w:rPr/>
      </w:pPr>
      <w:r>
        <w:rPr>
          <w:spacing w:val="-2"/>
          <w:sz w:val="24"/>
        </w:rPr>
        <w:t>10.1</w:t>
        <w:tab/>
        <w:t>Subject to the remaining provisions of this Clause 10, all nominations, notices, consents, communications and invoices to be made or given hereunder, (</w:t>
      </w:r>
      <w:r>
        <w:rPr>
          <w:b/>
          <w:spacing w:val="-2"/>
          <w:sz w:val="24"/>
        </w:rPr>
        <w:t>"Communications"</w:t>
      </w:r>
      <w:r>
        <w:rPr>
          <w:spacing w:val="-2"/>
          <w:sz w:val="24"/>
        </w:rPr>
        <w:t>), shall be in writing and delivered to the applicable address specified in Schedule 3 or such other address as may be notified in writing by either party from time to time.</w:t>
      </w:r>
    </w:p>
    <w:p>
      <w:pPr>
        <w:pStyle w:val="Normal"/>
        <w:tabs>
          <w:tab w:val="clear" w:pos="720"/>
          <w:tab w:val="left" w:pos="0" w:leader="none"/>
        </w:tabs>
        <w:suppressAutoHyphens w:val="true"/>
        <w:spacing w:before="0" w:after="240"/>
        <w:ind w:hanging="570" w:start="570" w:end="0"/>
        <w:jc w:val="both"/>
        <w:rPr>
          <w:sz w:val="24"/>
        </w:rPr>
      </w:pPr>
      <w:r>
        <w:rPr>
          <w:spacing w:val="-2"/>
          <w:sz w:val="24"/>
        </w:rPr>
        <w:t>10.2</w:t>
        <w:tab/>
        <w:t>Communications shall only be given by prepaid post, or delivered by hand, or sent by facsimile or telex.</w:t>
      </w:r>
    </w:p>
    <w:p>
      <w:pPr>
        <w:pStyle w:val="Normal"/>
        <w:tabs>
          <w:tab w:val="clear" w:pos="720"/>
          <w:tab w:val="left" w:pos="0" w:leader="none"/>
        </w:tabs>
        <w:suppressAutoHyphens w:val="true"/>
        <w:spacing w:before="0" w:after="240"/>
        <w:jc w:val="both"/>
        <w:rPr>
          <w:sz w:val="24"/>
        </w:rPr>
      </w:pPr>
      <w:r>
        <w:rPr>
          <w:sz w:val="24"/>
        </w:rPr>
        <w:t>10.3</w:t>
        <w:tab/>
        <w:t>All Communications shall be deemed to have been received:</w:t>
      </w:r>
    </w:p>
    <w:p>
      <w:pPr>
        <w:pStyle w:val="BodyTextIndent2"/>
        <w:numPr>
          <w:ilvl w:val="0"/>
          <w:numId w:val="11"/>
        </w:numPr>
        <w:rPr>
          <w:sz w:val="24"/>
        </w:rPr>
      </w:pPr>
      <w:r>
        <w:rPr>
          <w:sz w:val="24"/>
        </w:rPr>
        <w:t>in the case of facsimile or telex, on receipt of an appropriate answerback, if such day is a Business Day, or otherwise on the next succeeding Business Day;</w:t>
      </w:r>
    </w:p>
    <w:p>
      <w:pPr>
        <w:pStyle w:val="BodyTextIndent2"/>
        <w:numPr>
          <w:ilvl w:val="0"/>
          <w:numId w:val="11"/>
        </w:numPr>
        <w:rPr>
          <w:sz w:val="24"/>
        </w:rPr>
      </w:pPr>
      <w:r>
        <w:rPr>
          <w:sz w:val="24"/>
        </w:rPr>
        <w:t>in the case of deliveries by hand, on the day on which they were delivered, if such day is a Business Day, or otherwise on the next succeeding Business Day; and</w:t>
      </w:r>
    </w:p>
    <w:p>
      <w:pPr>
        <w:pStyle w:val="BodyTextIndent2"/>
        <w:numPr>
          <w:ilvl w:val="0"/>
          <w:numId w:val="11"/>
        </w:numPr>
        <w:spacing w:before="0" w:after="0"/>
        <w:rPr>
          <w:sz w:val="24"/>
        </w:rPr>
      </w:pPr>
      <w:r>
        <w:rPr>
          <w:sz w:val="24"/>
        </w:rPr>
        <w:t>in the case of prepaid post, on the day after they were posted, if such day is a Business Day, or otherwise on the next succeeding Business Day.</w:t>
      </w:r>
    </w:p>
    <w:p>
      <w:pPr>
        <w:pStyle w:val="BodyTextIndent2"/>
        <w:spacing w:lineRule="auto" w:line="360" w:before="0" w:after="0"/>
        <w:rPr>
          <w:sz w:val="24"/>
        </w:rPr>
      </w:pPr>
      <w:r>
        <w:rPr>
          <w:sz w:val="24"/>
        </w:rPr>
      </w:r>
    </w:p>
    <w:p>
      <w:pPr>
        <w:pStyle w:val="Heading1"/>
        <w:ind w:hanging="0" w:start="0"/>
        <w:rPr>
          <w:sz w:val="24"/>
        </w:rPr>
      </w:pPr>
      <w:bookmarkStart w:id="10" w:name="__RefHeading___Toc438630986"/>
      <w:bookmarkEnd w:id="10"/>
      <w:r>
        <w:rPr>
          <w:sz w:val="24"/>
        </w:rPr>
        <w:t>11.</w:t>
        <w:tab/>
        <w:t>Assignment and Succession</w:t>
      </w:r>
    </w:p>
    <w:p>
      <w:pPr>
        <w:pStyle w:val="Header"/>
        <w:tabs>
          <w:tab w:val="clear" w:pos="4153"/>
          <w:tab w:val="clear" w:pos="8306"/>
        </w:tabs>
        <w:rPr>
          <w:sz w:val="24"/>
        </w:rPr>
      </w:pPr>
      <w:r>
        <w:rPr>
          <w:sz w:val="24"/>
        </w:rPr>
      </w:r>
    </w:p>
    <w:p>
      <w:pPr>
        <w:pStyle w:val="BodyTextIndent2"/>
        <w:ind w:hanging="570" w:start="570" w:end="0"/>
        <w:rPr>
          <w:sz w:val="24"/>
        </w:rPr>
      </w:pPr>
      <w:r>
        <w:rPr>
          <w:sz w:val="24"/>
        </w:rPr>
        <w:t>11.1</w:t>
        <w:tab/>
        <w:t>Subject to Clauses 11.2 and 11.3, neither party may assign or transfer this Agreement or any Designated Contract, or any of its respective rights and obligations hereunder or thereunder, without the prior written consent of the other party, which shall not be unreasonably delayed or withheld, save that either party may assign or transfer the benefit of any Designated Contract to an Affiliate without such consent, in which event the assigning party shall remain fully liable for all obligations arising thereunder. Any purported assignment or transfer which does not comply with this Clause 11 shall be void and of no effect.</w:t>
      </w:r>
    </w:p>
    <w:p>
      <w:pPr>
        <w:pStyle w:val="BodyTextIndent2"/>
        <w:ind w:hanging="570" w:start="570" w:end="0"/>
        <w:rPr>
          <w:sz w:val="24"/>
        </w:rPr>
      </w:pPr>
      <w:r>
        <w:rPr>
          <w:sz w:val="24"/>
        </w:rPr>
        <w:t>11.2</w:t>
        <w:tab/>
        <w:t>Subject to Clause 11.3, either party may without the prior written consent of the other party assign or transfer (whether by way of security or otherwise) any of its respective rights (including the cash flows due to that party) hereunder or under any Designated Contract to a lending or financial institution in connection with the financing or proposed financing of all or part of such party’s business, provided always that the assigning party shall remain fully liable for all obligations arising hereunder.</w:t>
      </w:r>
    </w:p>
    <w:p>
      <w:pPr>
        <w:pStyle w:val="Normal"/>
        <w:ind w:hanging="540" w:start="540" w:end="0"/>
        <w:rPr>
          <w:b/>
          <w:sz w:val="24"/>
          <w:u w:val="single"/>
        </w:rPr>
      </w:pPr>
      <w:r>
        <w:rPr>
          <w:sz w:val="24"/>
        </w:rPr>
        <w:t>11.3</w:t>
        <w:tab/>
        <w:t>During any period in which the Non-defaulting Party is entitled to exercise Close-out rights under Clause 4.1 by reason of an Event of Default having occurred in relation to the Defaulting Party, the Defaulting Party shall not be entitled to assign or transfer any Designated Contract or any of its rights and obligations thereunder.  If the Non-defaulting Party exercises its Close-out rights under clause 4.1, neither the Defaulting Party nor the Non-defaulting Party shall be entitled to assign or transfer any Designated Contract (or any of its rights and obligations thereunder) or any Close-out Amount unless (i) there is only one Designated Contract or Close-out Amount or (ii) the Close-out Amount has properly been excluded from set off pursuant to Clause 5.1 (whether by application of Clause 5.2 or by mandatory rule of law) and, in the case of either (i) or (ii), such assignment or transfer may be made only to the extent permitted by  Clause 11.1 or Clause 11.2.</w:t>
      </w:r>
    </w:p>
    <w:p>
      <w:pPr>
        <w:pStyle w:val="BodyTextIndent2"/>
        <w:spacing w:before="0" w:after="0"/>
        <w:ind w:hanging="570" w:start="570" w:end="0"/>
        <w:rPr>
          <w:b/>
          <w:sz w:val="24"/>
          <w:u w:val="single"/>
        </w:rPr>
      </w:pPr>
      <w:r>
        <w:rPr>
          <w:b/>
          <w:sz w:val="24"/>
          <w:u w:val="single"/>
        </w:rPr>
      </w:r>
    </w:p>
    <w:p>
      <w:pPr>
        <w:pStyle w:val="BodyTextIndent2"/>
        <w:spacing w:before="0" w:after="0"/>
        <w:ind w:hanging="540" w:start="540" w:end="0"/>
        <w:rPr>
          <w:sz w:val="24"/>
        </w:rPr>
      </w:pPr>
      <w:r>
        <w:rPr>
          <w:sz w:val="24"/>
        </w:rPr>
        <w:t>11.4</w:t>
        <w:tab/>
        <w:t>This Agreement shall enure to and bind the Parties and their respective successors and permitted assigns.</w:t>
      </w:r>
    </w:p>
    <w:p>
      <w:pPr>
        <w:pStyle w:val="Header"/>
        <w:tabs>
          <w:tab w:val="clear" w:pos="4153"/>
          <w:tab w:val="clear" w:pos="8306"/>
        </w:tabs>
        <w:spacing w:lineRule="auto" w:line="360"/>
        <w:rPr>
          <w:spacing w:val="-2"/>
          <w:sz w:val="24"/>
        </w:rPr>
      </w:pPr>
      <w:r>
        <w:rPr>
          <w:spacing w:val="-2"/>
          <w:sz w:val="24"/>
        </w:rPr>
      </w:r>
    </w:p>
    <w:p>
      <w:pPr>
        <w:pStyle w:val="Heading1"/>
        <w:keepLines w:val="false"/>
        <w:widowControl/>
        <w:suppressAutoHyphens w:val="false"/>
        <w:ind w:hanging="0" w:start="0"/>
        <w:rPr>
          <w:spacing w:val="0"/>
          <w:sz w:val="24"/>
        </w:rPr>
      </w:pPr>
      <w:bookmarkStart w:id="11" w:name="__RefHeading___Toc438630987"/>
      <w:bookmarkEnd w:id="11"/>
      <w:r>
        <w:rPr>
          <w:spacing w:val="0"/>
          <w:sz w:val="24"/>
        </w:rPr>
        <w:t>12.</w:t>
        <w:tab/>
        <w:t>Confidentiality</w:t>
      </w:r>
    </w:p>
    <w:p>
      <w:pPr>
        <w:pStyle w:val="Normal"/>
        <w:rPr>
          <w:spacing w:val="0"/>
          <w:sz w:val="24"/>
        </w:rPr>
      </w:pPr>
      <w:r>
        <w:rPr>
          <w:spacing w:val="0"/>
          <w:sz w:val="24"/>
        </w:rPr>
      </w:r>
    </w:p>
    <w:p>
      <w:pPr>
        <w:pStyle w:val="Normal"/>
        <w:suppressAutoHyphens w:val="true"/>
        <w:spacing w:before="0" w:after="240"/>
        <w:ind w:hanging="570" w:start="570" w:end="0"/>
        <w:jc w:val="both"/>
        <w:rPr>
          <w:spacing w:val="-2"/>
          <w:sz w:val="24"/>
        </w:rPr>
      </w:pPr>
      <w:r>
        <w:rPr>
          <w:spacing w:val="-2"/>
          <w:sz w:val="24"/>
        </w:rPr>
        <w:t>12.1</w:t>
        <w:tab/>
        <w:t>Neither party shall disclose the terms of this Agreement or any information relating thereto to any third party save with the prior written consent of the other, and shall keep the same strictly confidential.</w:t>
      </w:r>
    </w:p>
    <w:p>
      <w:pPr>
        <w:pStyle w:val="Normal"/>
        <w:suppressAutoHyphens w:val="true"/>
        <w:spacing w:before="0" w:after="240"/>
        <w:ind w:hanging="567" w:start="567" w:end="0"/>
        <w:jc w:val="both"/>
        <w:rPr>
          <w:spacing w:val="-2"/>
          <w:sz w:val="24"/>
        </w:rPr>
      </w:pPr>
      <w:r>
        <w:rPr>
          <w:spacing w:val="-2"/>
          <w:sz w:val="24"/>
        </w:rPr>
        <w:t>12.2</w:t>
        <w:tab/>
        <w:t>The obligations in clause 12.1 shall not apply:</w:t>
      </w:r>
    </w:p>
    <w:p>
      <w:pPr>
        <w:pStyle w:val="Normal"/>
        <w:numPr>
          <w:ilvl w:val="2"/>
          <w:numId w:val="10"/>
        </w:numPr>
        <w:tabs>
          <w:tab w:val="clear" w:pos="720"/>
        </w:tabs>
        <w:suppressAutoHyphens w:val="true"/>
        <w:spacing w:before="0" w:after="240"/>
        <w:ind w:hanging="851" w:start="1418" w:end="0"/>
        <w:jc w:val="both"/>
        <w:rPr>
          <w:spacing w:val="-2"/>
          <w:sz w:val="24"/>
        </w:rPr>
      </w:pPr>
      <w:r>
        <w:rPr>
          <w:spacing w:val="-2"/>
          <w:sz w:val="24"/>
        </w:rPr>
        <w:t>to the extent such disclosure is required by applicable law, order, or regulation or in connection with any judicial, arbitral or administrative proceeding;</w:t>
      </w:r>
    </w:p>
    <w:p>
      <w:pPr>
        <w:pStyle w:val="Normal"/>
        <w:numPr>
          <w:ilvl w:val="2"/>
          <w:numId w:val="10"/>
        </w:numPr>
        <w:tabs>
          <w:tab w:val="clear" w:pos="720"/>
        </w:tabs>
        <w:suppressAutoHyphens w:val="true"/>
        <w:spacing w:before="0" w:after="240"/>
        <w:ind w:hanging="851" w:start="1418" w:end="0"/>
        <w:jc w:val="both"/>
        <w:rPr>
          <w:spacing w:val="-2"/>
          <w:sz w:val="24"/>
        </w:rPr>
      </w:pPr>
      <w:r>
        <w:rPr>
          <w:spacing w:val="-2"/>
          <w:sz w:val="24"/>
        </w:rPr>
        <w:t>to disclosures made to employees, agents, contractors or advisers of a party who have undertaken to keep such terms and/or information confidential;</w:t>
      </w:r>
    </w:p>
    <w:p>
      <w:pPr>
        <w:pStyle w:val="Normal"/>
        <w:numPr>
          <w:ilvl w:val="2"/>
          <w:numId w:val="10"/>
        </w:numPr>
        <w:suppressAutoHyphens w:val="true"/>
        <w:spacing w:before="0" w:after="240"/>
        <w:ind w:hanging="851" w:start="1418" w:end="0"/>
        <w:jc w:val="both"/>
        <w:rPr>
          <w:sz w:val="24"/>
        </w:rPr>
      </w:pPr>
      <w:r>
        <w:rPr>
          <w:sz w:val="24"/>
        </w:rPr>
        <w:t>to the extent such terms and/or information is already in the public domain (or otherwise already known to the person receiving such information), otherwise than through a breach hereof;</w:t>
      </w:r>
    </w:p>
    <w:p>
      <w:pPr>
        <w:pStyle w:val="Normal"/>
        <w:numPr>
          <w:ilvl w:val="2"/>
          <w:numId w:val="10"/>
        </w:numPr>
        <w:suppressAutoHyphens w:val="true"/>
        <w:spacing w:before="0" w:after="240"/>
        <w:ind w:hanging="851" w:start="1418" w:end="0"/>
        <w:jc w:val="both"/>
        <w:rPr>
          <w:spacing w:val="-2"/>
          <w:sz w:val="24"/>
        </w:rPr>
      </w:pPr>
      <w:r>
        <w:rPr>
          <w:sz w:val="24"/>
        </w:rPr>
        <w:t>to any governmental agency, or regulatory, or administrative agency having jurisdiction over the disclosing party;</w:t>
      </w:r>
    </w:p>
    <w:p>
      <w:pPr>
        <w:pStyle w:val="Normal"/>
        <w:numPr>
          <w:ilvl w:val="2"/>
          <w:numId w:val="10"/>
        </w:numPr>
        <w:suppressAutoHyphens w:val="true"/>
        <w:spacing w:before="0" w:after="240"/>
        <w:ind w:hanging="851" w:start="1418" w:end="0"/>
        <w:jc w:val="both"/>
        <w:rPr>
          <w:spacing w:val="-2"/>
          <w:sz w:val="24"/>
        </w:rPr>
      </w:pPr>
      <w:r>
        <w:rPr>
          <w:spacing w:val="-2"/>
          <w:sz w:val="24"/>
        </w:rPr>
        <w:t>to a bona fide intended assignee of a party’s rights and obligations hereunder;</w:t>
      </w:r>
    </w:p>
    <w:p>
      <w:pPr>
        <w:pStyle w:val="Normal"/>
        <w:ind w:hanging="873" w:start="1440" w:end="0"/>
        <w:rPr>
          <w:spacing w:val="-2"/>
          <w:sz w:val="24"/>
        </w:rPr>
      </w:pPr>
      <w:r>
        <w:rPr>
          <w:spacing w:val="-2"/>
          <w:sz w:val="24"/>
        </w:rPr>
        <w:t>(f)</w:t>
        <w:tab/>
        <w:t>to a lending or financial institution from whom a party is seeking or obtaining finance in connection with its business or in connection with a party managing its credit risks under this agreement or to a rating agent in connection therewith, provided that such lending or financial institution is made aware of the confidential nature of the information disclosed and is bound by confidentiality no less onerous than that set out herein.</w:t>
      </w:r>
    </w:p>
    <w:p>
      <w:pPr>
        <w:pStyle w:val="Header"/>
        <w:tabs>
          <w:tab w:val="clear" w:pos="4153"/>
          <w:tab w:val="clear" w:pos="8306"/>
        </w:tabs>
        <w:spacing w:lineRule="auto" w:line="360"/>
        <w:rPr>
          <w:spacing w:val="-2"/>
          <w:sz w:val="24"/>
        </w:rPr>
      </w:pPr>
      <w:r>
        <w:rPr>
          <w:spacing w:val="-2"/>
          <w:sz w:val="24"/>
        </w:rPr>
      </w:r>
    </w:p>
    <w:p>
      <w:pPr>
        <w:pStyle w:val="Heading1"/>
        <w:ind w:hanging="0" w:start="0"/>
        <w:rPr>
          <w:sz w:val="24"/>
        </w:rPr>
      </w:pPr>
      <w:bookmarkStart w:id="12" w:name="__RefHeading___Toc438630988"/>
      <w:bookmarkEnd w:id="12"/>
      <w:r>
        <w:rPr>
          <w:sz w:val="24"/>
        </w:rPr>
        <w:t>13.</w:t>
        <w:tab/>
        <w:t>Severability</w:t>
      </w:r>
    </w:p>
    <w:p>
      <w:pPr>
        <w:pStyle w:val="BodyTextIndent3"/>
        <w:rPr>
          <w:sz w:val="24"/>
        </w:rPr>
      </w:pPr>
      <w:r>
        <w:rPr>
          <w:sz w:val="24"/>
        </w:rPr>
      </w:r>
    </w:p>
    <w:p>
      <w:pPr>
        <w:pStyle w:val="BodyTextIndent3"/>
        <w:spacing w:before="0" w:after="240"/>
        <w:rPr>
          <w:sz w:val="24"/>
        </w:rPr>
      </w:pPr>
      <w:r>
        <w:rPr>
          <w:sz w:val="24"/>
        </w:rPr>
        <w:t xml:space="preserve">The illegality, invalidity or unenforceability of any provision of this Agreement under the law of any jurisdiction shall not impair: </w:t>
      </w:r>
    </w:p>
    <w:p>
      <w:pPr>
        <w:pStyle w:val="BodyTextIndent3"/>
        <w:numPr>
          <w:ilvl w:val="0"/>
          <w:numId w:val="8"/>
        </w:numPr>
        <w:spacing w:before="0" w:after="240"/>
        <w:ind w:hanging="357" w:start="924" w:end="0"/>
        <w:rPr>
          <w:sz w:val="24"/>
        </w:rPr>
      </w:pPr>
      <w:r>
        <w:rPr>
          <w:sz w:val="24"/>
        </w:rPr>
        <w:t>the legality, validity or enforceability under the laws of any other jurisdiction of that provision or any other provision of this Agreement; or</w:t>
      </w:r>
    </w:p>
    <w:p>
      <w:pPr>
        <w:pStyle w:val="BodyTextIndent3"/>
        <w:numPr>
          <w:ilvl w:val="0"/>
          <w:numId w:val="8"/>
        </w:numPr>
        <w:ind w:hanging="357" w:start="924" w:end="0"/>
        <w:rPr>
          <w:sz w:val="24"/>
        </w:rPr>
      </w:pPr>
      <w:r>
        <w:rPr>
          <w:sz w:val="24"/>
        </w:rPr>
        <w:t>the legality, validity or enforceability in that jurisdiction of any other provision of this Agreement.</w:t>
      </w:r>
    </w:p>
    <w:p>
      <w:pPr>
        <w:pStyle w:val="Normal"/>
        <w:spacing w:lineRule="auto" w:line="360"/>
        <w:rPr>
          <w:b/>
          <w:sz w:val="24"/>
        </w:rPr>
      </w:pPr>
      <w:r>
        <w:rPr>
          <w:b/>
          <w:spacing w:val="-2"/>
          <w:sz w:val="24"/>
        </w:rPr>
        <w:tab/>
      </w:r>
    </w:p>
    <w:p>
      <w:pPr>
        <w:pStyle w:val="Heading1"/>
        <w:ind w:hanging="0" w:start="0"/>
        <w:rPr>
          <w:sz w:val="24"/>
        </w:rPr>
      </w:pPr>
      <w:bookmarkStart w:id="13" w:name="__RefHeading___Toc438630989"/>
      <w:bookmarkEnd w:id="13"/>
      <w:r>
        <w:rPr>
          <w:sz w:val="24"/>
        </w:rPr>
        <w:t>14.</w:t>
        <w:tab/>
        <w:t>Governing Law and Jurisdiction</w:t>
      </w:r>
    </w:p>
    <w:p>
      <w:pPr>
        <w:pStyle w:val="Normal"/>
        <w:tabs>
          <w:tab w:val="clear" w:pos="720"/>
          <w:tab w:val="left" w:pos="0" w:leader="none"/>
          <w:tab w:val="left" w:pos="850" w:leader="none"/>
          <w:tab w:val="left" w:pos="1701" w:leader="none"/>
          <w:tab w:val="left" w:pos="2552" w:leader="none"/>
          <w:tab w:val="left" w:pos="3403" w:leader="none"/>
          <w:tab w:val="left" w:pos="4254" w:leader="none"/>
          <w:tab w:val="left" w:pos="5106" w:leader="none"/>
          <w:tab w:val="left" w:pos="5956" w:leader="none"/>
          <w:tab w:val="left" w:pos="6807" w:leader="none"/>
          <w:tab w:val="left" w:pos="7658" w:leader="none"/>
          <w:tab w:val="left" w:pos="8509" w:leader="none"/>
          <w:tab w:val="left" w:pos="8640" w:leader="none"/>
        </w:tabs>
        <w:suppressAutoHyphens w:val="true"/>
        <w:jc w:val="both"/>
        <w:rPr>
          <w:spacing w:val="-2"/>
          <w:sz w:val="24"/>
        </w:rPr>
      </w:pPr>
      <w:r>
        <w:rPr>
          <w:spacing w:val="-2"/>
          <w:sz w:val="24"/>
        </w:rPr>
      </w:r>
    </w:p>
    <w:p>
      <w:pPr>
        <w:pStyle w:val="Normal"/>
        <w:tabs>
          <w:tab w:val="clear" w:pos="720"/>
          <w:tab w:val="left" w:pos="0" w:leader="none"/>
          <w:tab w:val="left" w:pos="850" w:leader="none"/>
          <w:tab w:val="left" w:pos="1701" w:leader="none"/>
          <w:tab w:val="left" w:pos="2552" w:leader="none"/>
          <w:tab w:val="left" w:pos="3403" w:leader="none"/>
          <w:tab w:val="left" w:pos="4254" w:leader="none"/>
          <w:tab w:val="left" w:pos="5106" w:leader="none"/>
          <w:tab w:val="left" w:pos="5956" w:leader="none"/>
          <w:tab w:val="left" w:pos="6807" w:leader="none"/>
          <w:tab w:val="left" w:pos="7658" w:leader="none"/>
          <w:tab w:val="left" w:pos="8509" w:leader="none"/>
          <w:tab w:val="left" w:pos="8640" w:leader="none"/>
        </w:tabs>
        <w:suppressAutoHyphens w:val="true"/>
        <w:ind w:start="567" w:end="0"/>
        <w:jc w:val="both"/>
        <w:rPr>
          <w:spacing w:val="-2"/>
          <w:sz w:val="24"/>
        </w:rPr>
      </w:pPr>
      <w:r>
        <w:rPr>
          <w:spacing w:val="-2"/>
          <w:sz w:val="24"/>
        </w:rPr>
        <w:t>This Agreement shall be governed by, and construed, interpreted, and enforced in accordance with, the laws of England and Wales, and each party hereby submits to the jurisdiction of the English courts.</w:t>
      </w:r>
    </w:p>
    <w:p>
      <w:pPr>
        <w:pStyle w:val="Normal"/>
        <w:rPr>
          <w:spacing w:val="-2"/>
          <w:sz w:val="24"/>
        </w:rPr>
      </w:pPr>
      <w:r>
        <w:rPr>
          <w:spacing w:val="-2"/>
          <w:sz w:val="24"/>
        </w:rPr>
      </w:r>
    </w:p>
    <w:p>
      <w:pPr>
        <w:pStyle w:val="Normal"/>
        <w:rPr>
          <w:spacing w:val="-2"/>
          <w:sz w:val="24"/>
        </w:rPr>
      </w:pPr>
      <w:r>
        <w:rPr>
          <w:spacing w:val="-2"/>
          <w:sz w:val="24"/>
        </w:rPr>
      </w:r>
    </w:p>
    <w:p>
      <w:pPr>
        <w:sectPr>
          <w:headerReference w:type="default" r:id="rId11"/>
          <w:headerReference w:type="first" r:id="rId12"/>
          <w:footerReference w:type="default" r:id="rId13"/>
          <w:footerReference w:type="first" r:id="rId14"/>
          <w:type w:val="nextPage"/>
          <w:pgSz w:w="11906" w:h="16838"/>
          <w:pgMar w:left="1560" w:right="1700" w:gutter="0" w:header="720" w:top="1418" w:footer="720" w:bottom="1418"/>
          <w:pgNumType w:fmt="decimal"/>
          <w:formProt w:val="false"/>
          <w:textDirection w:val="lrTb"/>
          <w:docGrid w:type="default" w:linePitch="360" w:charSpace="0"/>
        </w:sectPr>
        <w:pStyle w:val="Normal"/>
        <w:rPr/>
      </w:pPr>
      <w:r>
        <w:rPr>
          <w:spacing w:val="-2"/>
          <w:sz w:val="24"/>
        </w:rPr>
        <w:t>AS WITNESSES the hands of the duly authorized representatives</w:t>
      </w:r>
      <w:r>
        <w:rPr>
          <w:i/>
          <w:spacing w:val="-2"/>
          <w:sz w:val="24"/>
        </w:rPr>
        <w:t xml:space="preserve"> </w:t>
      </w:r>
      <w:r>
        <w:rPr>
          <w:spacing w:val="-2"/>
          <w:sz w:val="24"/>
        </w:rPr>
        <w:t>of the parties on the date set out at the commencement of this Agreement.</w:t>
      </w:r>
    </w:p>
    <w:p>
      <w:pPr>
        <w:pStyle w:val="Heading3"/>
        <w:ind w:hanging="0" w:start="0"/>
        <w:rPr/>
      </w:pPr>
      <w:r>
        <w:rPr/>
        <w:t>Schedule 1</w:t>
      </w:r>
    </w:p>
    <w:p>
      <w:pPr>
        <w:pStyle w:val="Heading3"/>
        <w:ind w:hanging="0" w:start="0"/>
        <w:rPr>
          <w:b w:val="false"/>
          <w:u w:val="single"/>
        </w:rPr>
      </w:pPr>
      <w:r>
        <w:rPr>
          <w:b w:val="false"/>
          <w:u w:val="single"/>
        </w:rPr>
      </w:r>
    </w:p>
    <w:p>
      <w:pPr>
        <w:pStyle w:val="Heading3"/>
        <w:ind w:hanging="0" w:start="0"/>
        <w:rPr>
          <w:b w:val="false"/>
          <w:u w:val="single"/>
        </w:rPr>
      </w:pPr>
      <w:r>
        <w:rPr>
          <w:b w:val="false"/>
          <w:u w:val="single"/>
        </w:rPr>
      </w:r>
    </w:p>
    <w:p>
      <w:pPr>
        <w:pStyle w:val="Heading3"/>
        <w:ind w:hanging="0" w:start="0"/>
        <w:rPr/>
      </w:pPr>
      <w:bookmarkStart w:id="14" w:name="__RefHeading___Toc438630991"/>
      <w:bookmarkEnd w:id="14"/>
      <w:r>
        <w:rPr/>
        <w:t>Existing Contracts</w:t>
      </w:r>
    </w:p>
    <w:p>
      <w:pPr>
        <w:pStyle w:val="Normal"/>
        <w:rPr>
          <w:b/>
          <w:sz w:val="24"/>
        </w:rPr>
      </w:pPr>
      <w:r>
        <w:rPr>
          <w:b/>
          <w:sz w:val="24"/>
        </w:rPr>
      </w:r>
    </w:p>
    <w:p>
      <w:pPr>
        <w:pStyle w:val="Normal"/>
        <w:rPr>
          <w:b/>
          <w:sz w:val="24"/>
        </w:rPr>
      </w:pPr>
      <w:r>
        <w:rPr>
          <w:b/>
          <w:sz w:val="24"/>
        </w:rPr>
      </w:r>
    </w:p>
    <w:p>
      <w:pPr>
        <w:pStyle w:val="Normal"/>
        <w:numPr>
          <w:ilvl w:val="0"/>
          <w:numId w:val="15"/>
        </w:numPr>
        <w:rPr>
          <w:sz w:val="24"/>
        </w:rPr>
      </w:pPr>
      <w:r>
        <w:rPr>
          <w:sz w:val="24"/>
        </w:rPr>
        <w:t>Gas Sales Agreement (“Esso Fawley”) dated 19 December 1997 between Enron Capital &amp; Trade Resources Limited and National Power plc</w:t>
      </w:r>
    </w:p>
    <w:p>
      <w:pPr>
        <w:pStyle w:val="Normal"/>
        <w:rPr>
          <w:b/>
          <w:sz w:val="24"/>
        </w:rPr>
      </w:pPr>
      <w:r>
        <w:rPr>
          <w:b/>
          <w:sz w:val="24"/>
        </w:rPr>
      </w:r>
    </w:p>
    <w:p>
      <w:pPr>
        <w:pStyle w:val="Normal"/>
        <w:numPr>
          <w:ilvl w:val="0"/>
          <w:numId w:val="15"/>
        </w:numPr>
        <w:rPr>
          <w:sz w:val="24"/>
        </w:rPr>
      </w:pPr>
      <w:r>
        <w:rPr>
          <w:sz w:val="24"/>
        </w:rPr>
        <w:t>Gas Sales Agreement (“Bridgewater”) dated 28 August 1998 between Enron Capital &amp; Trade Resources Limited and National Power plc</w:t>
      </w:r>
    </w:p>
    <w:p>
      <w:pPr>
        <w:pStyle w:val="Normal"/>
        <w:rPr>
          <w:b/>
          <w:sz w:val="24"/>
        </w:rPr>
      </w:pPr>
      <w:r>
        <w:rPr>
          <w:b/>
          <w:sz w:val="24"/>
        </w:rPr>
      </w:r>
    </w:p>
    <w:p>
      <w:pPr>
        <w:pStyle w:val="Normal"/>
        <w:numPr>
          <w:ilvl w:val="0"/>
          <w:numId w:val="15"/>
        </w:numPr>
        <w:rPr>
          <w:sz w:val="24"/>
        </w:rPr>
      </w:pPr>
      <w:r>
        <w:rPr>
          <w:sz w:val="24"/>
        </w:rPr>
        <w:t>Firm Gas Supply Agreement (“AM Paper”) dated 20 November 1998 between Enron Capital &amp; Trade Resources Limited and National Power plc</w:t>
      </w:r>
    </w:p>
    <w:p>
      <w:pPr>
        <w:pStyle w:val="Normal"/>
        <w:rPr>
          <w:b/>
          <w:sz w:val="24"/>
        </w:rPr>
      </w:pPr>
      <w:r>
        <w:rPr>
          <w:b/>
          <w:sz w:val="24"/>
        </w:rPr>
      </w:r>
      <w:r>
        <w:br w:type="page"/>
      </w:r>
    </w:p>
    <w:p>
      <w:pPr>
        <w:pStyle w:val="Normal"/>
        <w:rPr>
          <w:b/>
          <w:sz w:val="24"/>
        </w:rPr>
      </w:pPr>
      <w:r>
        <w:rPr>
          <w:b/>
          <w:sz w:val="24"/>
        </w:rPr>
      </w:r>
    </w:p>
    <w:p>
      <w:pPr>
        <w:pStyle w:val="Heading3"/>
        <w:ind w:hanging="0" w:start="0"/>
        <w:rPr/>
      </w:pPr>
      <w:r>
        <w:rPr/>
        <w:t>Schedule 2</w:t>
      </w:r>
    </w:p>
    <w:p>
      <w:pPr>
        <w:pStyle w:val="Heading3"/>
        <w:ind w:hanging="0" w:start="0"/>
        <w:rPr>
          <w:b w:val="false"/>
          <w:u w:val="single"/>
        </w:rPr>
      </w:pPr>
      <w:r>
        <w:rPr>
          <w:b w:val="false"/>
          <w:u w:val="single"/>
        </w:rPr>
      </w:r>
    </w:p>
    <w:p>
      <w:pPr>
        <w:pStyle w:val="Heading3"/>
        <w:ind w:hanging="0" w:start="0"/>
        <w:rPr>
          <w:b w:val="false"/>
          <w:u w:val="single"/>
        </w:rPr>
      </w:pPr>
      <w:r>
        <w:rPr>
          <w:b w:val="false"/>
          <w:u w:val="single"/>
        </w:rPr>
      </w:r>
    </w:p>
    <w:p>
      <w:pPr>
        <w:pStyle w:val="Heading3"/>
        <w:ind w:hanging="0" w:start="0"/>
        <w:rPr/>
      </w:pPr>
      <w:bookmarkStart w:id="15" w:name="__RefHeading___Toc438630993"/>
      <w:bookmarkEnd w:id="15"/>
      <w:r>
        <w:rPr/>
        <w:t>Form of Notice Excluding Designated Contracts from the Scope of this Agreement</w:t>
      </w:r>
    </w:p>
    <w:p>
      <w:pPr>
        <w:pStyle w:val="Normal"/>
        <w:rPr>
          <w:b/>
          <w:sz w:val="24"/>
        </w:rPr>
      </w:pPr>
      <w:r>
        <w:rPr>
          <w:b/>
          <w:sz w:val="24"/>
        </w:rPr>
      </w:r>
    </w:p>
    <w:p>
      <w:pPr>
        <w:pStyle w:val="Normal"/>
        <w:rPr>
          <w:sz w:val="24"/>
        </w:rPr>
      </w:pPr>
      <w:r>
        <w:rPr>
          <w:sz w:val="24"/>
        </w:rPr>
        <w:t>From:</w:t>
        <w:tab/>
        <w:t>[  ]</w:t>
        <w:tab/>
        <w:tab/>
        <w:tab/>
        <w:tab/>
        <w:tab/>
        <w:tab/>
        <w:tab/>
        <w:tab/>
        <w:t>[date]</w:t>
      </w:r>
    </w:p>
    <w:p>
      <w:pPr>
        <w:pStyle w:val="Normal"/>
        <w:rPr>
          <w:sz w:val="24"/>
        </w:rPr>
      </w:pPr>
      <w:r>
        <w:rPr>
          <w:sz w:val="24"/>
        </w:rPr>
      </w:r>
    </w:p>
    <w:p>
      <w:pPr>
        <w:pStyle w:val="Normal"/>
        <w:rPr>
          <w:sz w:val="24"/>
        </w:rPr>
      </w:pPr>
      <w:r>
        <w:rPr>
          <w:sz w:val="24"/>
        </w:rPr>
        <w:t>To:</w:t>
        <w:tab/>
        <w:t>[  ]</w:t>
      </w:r>
    </w:p>
    <w:p>
      <w:pPr>
        <w:pStyle w:val="Normal"/>
        <w:rPr>
          <w:sz w:val="24"/>
        </w:rPr>
      </w:pPr>
      <w:r>
        <w:rPr>
          <w:sz w:val="24"/>
        </w:rPr>
      </w:r>
    </w:p>
    <w:p>
      <w:pPr>
        <w:pStyle w:val="Normal"/>
        <w:rPr>
          <w:sz w:val="24"/>
        </w:rPr>
      </w:pPr>
      <w:r>
        <w:rPr>
          <w:sz w:val="24"/>
        </w:rPr>
        <w:t>Dear Sirs</w:t>
      </w:r>
    </w:p>
    <w:p>
      <w:pPr>
        <w:pStyle w:val="Normal"/>
        <w:rPr>
          <w:sz w:val="24"/>
        </w:rPr>
      </w:pPr>
      <w:r>
        <w:rPr>
          <w:sz w:val="24"/>
        </w:rPr>
      </w:r>
    </w:p>
    <w:p>
      <w:pPr>
        <w:pStyle w:val="Normal"/>
        <w:rPr>
          <w:sz w:val="24"/>
        </w:rPr>
      </w:pPr>
      <w:r>
        <w:rPr>
          <w:sz w:val="24"/>
        </w:rPr>
        <w:t xml:space="preserve">We refer to the Master Netting Agreement between us dated [   ]  199[] (the “Agreement”).  The terms defined in the Agreement shall bear the same meaning herein.  </w:t>
      </w:r>
    </w:p>
    <w:p>
      <w:pPr>
        <w:pStyle w:val="Normal"/>
        <w:rPr>
          <w:sz w:val="24"/>
        </w:rPr>
      </w:pPr>
      <w:r>
        <w:rPr>
          <w:sz w:val="24"/>
        </w:rPr>
      </w:r>
    </w:p>
    <w:p>
      <w:pPr>
        <w:pStyle w:val="Normal"/>
        <w:rPr>
          <w:sz w:val="24"/>
        </w:rPr>
      </w:pPr>
      <w:r>
        <w:rPr>
          <w:sz w:val="24"/>
        </w:rPr>
        <w:t>Pursuant to Clause 2.2 of the Agreement, the following contract[s] shall be deemed not to be Designated Contracts:</w:t>
      </w:r>
    </w:p>
    <w:p>
      <w:pPr>
        <w:pStyle w:val="Normal"/>
        <w:rPr>
          <w:sz w:val="24"/>
        </w:rPr>
      </w:pPr>
      <w:r>
        <w:rPr>
          <w:sz w:val="24"/>
        </w:rPr>
      </w:r>
    </w:p>
    <w:p>
      <w:pPr>
        <w:pStyle w:val="Normal"/>
        <w:jc w:val="center"/>
        <w:rPr>
          <w:sz w:val="24"/>
        </w:rPr>
      </w:pPr>
      <w:r>
        <w:rPr>
          <w:sz w:val="24"/>
        </w:rPr>
        <w:t>[specify excluded contract[s]]</w:t>
      </w:r>
    </w:p>
    <w:p>
      <w:pPr>
        <w:pStyle w:val="Normal"/>
        <w:jc w:val="center"/>
        <w:rPr>
          <w:sz w:val="24"/>
        </w:rPr>
      </w:pPr>
      <w:r>
        <w:rPr>
          <w:sz w:val="24"/>
        </w:rPr>
      </w:r>
    </w:p>
    <w:p>
      <w:pPr>
        <w:pStyle w:val="Heading2"/>
        <w:rPr>
          <w:b w:val="false"/>
          <w:sz w:val="24"/>
        </w:rPr>
      </w:pPr>
      <w:r>
        <w:rPr>
          <w:b w:val="false"/>
          <w:sz w:val="24"/>
        </w:rPr>
        <w:t>Yours faithfully,</w:t>
      </w:r>
    </w:p>
    <w:p>
      <w:pPr>
        <w:pStyle w:val="Normal"/>
        <w:rPr>
          <w:b/>
          <w:sz w:val="24"/>
        </w:rPr>
      </w:pPr>
      <w:r>
        <w:rPr>
          <w:b/>
          <w:sz w:val="24"/>
        </w:rPr>
      </w:r>
    </w:p>
    <w:p>
      <w:pPr>
        <w:pStyle w:val="Normal"/>
        <w:rPr>
          <w:sz w:val="24"/>
        </w:rPr>
      </w:pPr>
      <w:r>
        <w:rPr>
          <w:sz w:val="24"/>
        </w:rPr>
      </w:r>
    </w:p>
    <w:p>
      <w:pPr>
        <w:pStyle w:val="Normal"/>
        <w:rPr>
          <w:sz w:val="24"/>
        </w:rPr>
      </w:pPr>
      <w:r>
        <w:rPr>
          <w:sz w:val="24"/>
        </w:rPr>
      </w:r>
    </w:p>
    <w:p>
      <w:pPr>
        <w:pStyle w:val="Normal"/>
        <w:tabs>
          <w:tab w:val="clear" w:pos="720"/>
          <w:tab w:val="left" w:pos="1985" w:leader="none"/>
        </w:tabs>
        <w:rPr>
          <w:sz w:val="24"/>
          <w:u w:val="single"/>
        </w:rPr>
      </w:pPr>
      <w:r>
        <w:rPr>
          <w:sz w:val="24"/>
          <w:u w:val="single"/>
        </w:rPr>
        <w:tab/>
      </w:r>
    </w:p>
    <w:p>
      <w:pPr>
        <w:pStyle w:val="Normal"/>
        <w:rPr>
          <w:sz w:val="24"/>
        </w:rPr>
      </w:pPr>
      <w:r>
        <w:rPr>
          <w:sz w:val="24"/>
        </w:rPr>
        <w:t xml:space="preserve">for and on behalf of </w:t>
      </w:r>
    </w:p>
    <w:p>
      <w:pPr>
        <w:pStyle w:val="Normal"/>
        <w:rPr>
          <w:sz w:val="24"/>
        </w:rPr>
      </w:pPr>
      <w:r>
        <w:rPr>
          <w:sz w:val="24"/>
        </w:rPr>
        <w:t>[                            ]</w:t>
      </w:r>
    </w:p>
    <w:p>
      <w:pPr>
        <w:pStyle w:val="Normal"/>
        <w:rPr>
          <w:sz w:val="24"/>
        </w:rPr>
      </w:pPr>
      <w:r>
        <w:rPr>
          <w:sz w:val="24"/>
        </w:rPr>
      </w:r>
    </w:p>
    <w:p>
      <w:pPr>
        <w:pStyle w:val="Normal"/>
        <w:tabs>
          <w:tab w:val="clear" w:pos="720"/>
          <w:tab w:val="left" w:pos="1843" w:leader="none"/>
        </w:tabs>
        <w:rPr>
          <w:sz w:val="24"/>
        </w:rPr>
      </w:pPr>
      <w:r>
        <w:rPr>
          <w:sz w:val="24"/>
        </w:rPr>
      </w:r>
    </w:p>
    <w:p>
      <w:pPr>
        <w:pStyle w:val="Heading2"/>
        <w:tabs>
          <w:tab w:val="left" w:pos="567" w:leader="none"/>
          <w:tab w:val="left" w:pos="1843" w:leader="none"/>
        </w:tabs>
        <w:rPr>
          <w:sz w:val="24"/>
        </w:rPr>
      </w:pPr>
      <w:r>
        <w:rPr>
          <w:sz w:val="24"/>
        </w:rPr>
        <w:t xml:space="preserve">Accepted and Agreed </w:t>
      </w:r>
    </w:p>
    <w:p>
      <w:pPr>
        <w:pStyle w:val="Heading2"/>
        <w:rPr>
          <w:sz w:val="24"/>
        </w:rPr>
      </w:pPr>
      <w:r>
        <w:rPr>
          <w:sz w:val="24"/>
        </w:rPr>
      </w:r>
    </w:p>
    <w:p>
      <w:pPr>
        <w:pStyle w:val="Normal"/>
        <w:rPr>
          <w:b/>
          <w:sz w:val="24"/>
        </w:rPr>
      </w:pPr>
      <w:r>
        <w:rPr>
          <w:b/>
          <w:sz w:val="24"/>
        </w:rPr>
      </w:r>
    </w:p>
    <w:p>
      <w:pPr>
        <w:pStyle w:val="Normal"/>
        <w:rPr>
          <w:b/>
          <w:sz w:val="24"/>
        </w:rPr>
      </w:pPr>
      <w:r>
        <w:rPr>
          <w:b/>
          <w:sz w:val="24"/>
        </w:rPr>
      </w:r>
    </w:p>
    <w:p>
      <w:pPr>
        <w:pStyle w:val="Normal"/>
        <w:tabs>
          <w:tab w:val="clear" w:pos="720"/>
          <w:tab w:val="left" w:pos="1985" w:leader="none"/>
        </w:tabs>
        <w:rPr>
          <w:sz w:val="24"/>
          <w:u w:val="single"/>
        </w:rPr>
      </w:pPr>
      <w:r>
        <w:rPr>
          <w:sz w:val="24"/>
          <w:u w:val="single"/>
        </w:rPr>
        <w:tab/>
      </w:r>
    </w:p>
    <w:p>
      <w:pPr>
        <w:pStyle w:val="Normal"/>
        <w:rPr>
          <w:sz w:val="24"/>
        </w:rPr>
      </w:pPr>
      <w:r>
        <w:rPr>
          <w:sz w:val="24"/>
        </w:rPr>
        <w:t>for and on behalf of</w:t>
      </w:r>
    </w:p>
    <w:p>
      <w:pPr>
        <w:pStyle w:val="Normal"/>
        <w:rPr>
          <w:sz w:val="24"/>
        </w:rPr>
      </w:pPr>
      <w:r>
        <w:rPr>
          <w:sz w:val="24"/>
        </w:rPr>
        <w:t>[                              ]</w:t>
      </w:r>
    </w:p>
    <w:p>
      <w:pPr>
        <w:sectPr>
          <w:headerReference w:type="default" r:id="rId15"/>
          <w:headerReference w:type="first" r:id="rId16"/>
          <w:footerReference w:type="default" r:id="rId17"/>
          <w:footerReference w:type="first" r:id="rId18"/>
          <w:type w:val="nextPage"/>
          <w:pgSz w:w="11906" w:h="16838"/>
          <w:pgMar w:left="1701" w:right="1800" w:gutter="0" w:header="720" w:top="1440" w:footer="720" w:bottom="1440"/>
          <w:pgNumType w:fmt="decimal"/>
          <w:formProt w:val="false"/>
          <w:textDirection w:val="lrTb"/>
          <w:docGrid w:type="default" w:linePitch="360" w:charSpace="0"/>
        </w:sectPr>
        <w:pStyle w:val="Normal"/>
        <w:rPr>
          <w:b/>
          <w:sz w:val="24"/>
        </w:rPr>
      </w:pPr>
      <w:r>
        <w:rPr>
          <w:b/>
          <w:sz w:val="24"/>
        </w:rPr>
      </w:r>
    </w:p>
    <w:p>
      <w:pPr>
        <w:pStyle w:val="Heading3"/>
        <w:ind w:hanging="0" w:start="0"/>
        <w:rPr/>
      </w:pPr>
      <w:r>
        <w:rPr/>
        <w:t>Schedule 3</w:t>
      </w:r>
    </w:p>
    <w:p>
      <w:pPr>
        <w:pStyle w:val="Heading3"/>
        <w:ind w:hanging="0" w:start="0"/>
        <w:rPr>
          <w:b w:val="false"/>
        </w:rPr>
      </w:pPr>
      <w:r>
        <w:rPr>
          <w:b w:val="false"/>
        </w:rPr>
      </w:r>
    </w:p>
    <w:p>
      <w:pPr>
        <w:pStyle w:val="Heading3"/>
        <w:ind w:hanging="0" w:start="0"/>
        <w:rPr>
          <w:b w:val="false"/>
        </w:rPr>
      </w:pPr>
      <w:r>
        <w:rPr>
          <w:b w:val="false"/>
        </w:rPr>
      </w:r>
    </w:p>
    <w:p>
      <w:pPr>
        <w:pStyle w:val="Heading3"/>
        <w:ind w:hanging="0" w:start="0"/>
        <w:rPr>
          <w:b w:val="false"/>
        </w:rPr>
      </w:pPr>
      <w:bookmarkStart w:id="16" w:name="__RefHeading___Toc438630995"/>
      <w:bookmarkEnd w:id="16"/>
      <w:r>
        <w:rPr>
          <w:b w:val="false"/>
        </w:rPr>
        <w:t>Communication Details</w:t>
      </w:r>
    </w:p>
    <w:p>
      <w:pPr>
        <w:pStyle w:val="Normal"/>
        <w:jc w:val="center"/>
        <w:rPr>
          <w:b/>
          <w:sz w:val="24"/>
        </w:rPr>
      </w:pPr>
      <w:r>
        <w:rPr>
          <w:b/>
          <w:sz w:val="24"/>
        </w:rPr>
      </w:r>
    </w:p>
    <w:p>
      <w:pPr>
        <w:pStyle w:val="Normal"/>
        <w:jc w:val="center"/>
        <w:rPr>
          <w:b/>
          <w:sz w:val="24"/>
        </w:rPr>
      </w:pPr>
      <w:r>
        <w:rPr>
          <w:b/>
          <w:sz w:val="24"/>
        </w:rPr>
      </w:r>
    </w:p>
    <w:tbl>
      <w:tblPr>
        <w:tblW w:w="10301" w:type="dxa"/>
        <w:jc w:val="start"/>
        <w:tblInd w:w="-743" w:type="dxa"/>
        <w:tblLayout w:type="fixed"/>
        <w:tblCellMar>
          <w:top w:w="0" w:type="dxa"/>
          <w:start w:w="108" w:type="dxa"/>
          <w:bottom w:w="0" w:type="dxa"/>
          <w:end w:w="108" w:type="dxa"/>
        </w:tblCellMar>
      </w:tblPr>
      <w:tblGrid>
        <w:gridCol w:w="2269"/>
        <w:gridCol w:w="4394"/>
        <w:gridCol w:w="3638"/>
      </w:tblGrid>
      <w:tr>
        <w:trPr/>
        <w:tc>
          <w:tcPr>
            <w:tcW w:w="10301" w:type="dxa"/>
            <w:gridSpan w:val="3"/>
            <w:tcBorders/>
          </w:tcPr>
          <w:p>
            <w:pPr>
              <w:pStyle w:val="Normal"/>
              <w:numPr>
                <w:ilvl w:val="0"/>
                <w:numId w:val="0"/>
              </w:numPr>
              <w:tabs>
                <w:tab w:val="clear" w:pos="720"/>
                <w:tab w:val="left" w:pos="0" w:leader="none"/>
              </w:tabs>
              <w:suppressAutoHyphens w:val="true"/>
              <w:spacing w:before="0" w:after="240"/>
              <w:ind w:hanging="0" w:start="0"/>
              <w:jc w:val="center"/>
              <w:rPr>
                <w:spacing w:val="-2"/>
                <w:sz w:val="24"/>
              </w:rPr>
            </w:pPr>
            <w:r>
              <w:rPr>
                <w:b/>
                <w:spacing w:val="-2"/>
                <w:sz w:val="24"/>
                <w:u w:val="single"/>
              </w:rPr>
              <w:t>ENRON CAPITAL &amp; TRADE RESOURCES LIMITED</w:t>
            </w:r>
          </w:p>
          <w:p>
            <w:pPr>
              <w:pStyle w:val="Normal"/>
              <w:numPr>
                <w:ilvl w:val="0"/>
                <w:numId w:val="0"/>
              </w:numPr>
              <w:tabs>
                <w:tab w:val="clear" w:pos="720"/>
                <w:tab w:val="left" w:pos="0" w:leader="none"/>
              </w:tabs>
              <w:suppressAutoHyphens w:val="true"/>
              <w:ind w:hanging="0" w:start="0"/>
              <w:rPr>
                <w:spacing w:val="-2"/>
                <w:sz w:val="24"/>
              </w:rPr>
            </w:pPr>
            <w:r>
              <w:rPr>
                <w:spacing w:val="-2"/>
                <w:sz w:val="24"/>
              </w:rPr>
            </w:r>
          </w:p>
        </w:tc>
      </w:tr>
      <w:tr>
        <w:trPr/>
        <w:tc>
          <w:tcPr>
            <w:tcW w:w="2269" w:type="dxa"/>
            <w:tcBorders/>
          </w:tcPr>
          <w:p>
            <w:pPr>
              <w:pStyle w:val="Normal"/>
              <w:keepNext w:val="true"/>
              <w:tabs>
                <w:tab w:val="clear" w:pos="720"/>
                <w:tab w:val="left" w:pos="2880" w:leader="none"/>
                <w:tab w:val="left" w:pos="4320" w:leader="none"/>
                <w:tab w:val="left" w:pos="9360" w:leader="none"/>
              </w:tabs>
              <w:jc w:val="both"/>
              <w:rPr>
                <w:sz w:val="24"/>
              </w:rPr>
            </w:pPr>
            <w:r>
              <w:rPr>
                <w:sz w:val="24"/>
              </w:rPr>
              <w:t xml:space="preserve">Address: </w:t>
            </w:r>
          </w:p>
          <w:p>
            <w:pPr>
              <w:pStyle w:val="Normal"/>
              <w:keepNext w:val="true"/>
              <w:tabs>
                <w:tab w:val="clear" w:pos="720"/>
                <w:tab w:val="left" w:pos="2880" w:leader="none"/>
                <w:tab w:val="left" w:pos="4320" w:leader="none"/>
                <w:tab w:val="left" w:pos="9360" w:leader="none"/>
              </w:tabs>
              <w:jc w:val="both"/>
              <w:rPr>
                <w:sz w:val="24"/>
              </w:rPr>
            </w:pPr>
            <w:r>
              <w:rPr>
                <w:sz w:val="24"/>
              </w:rPr>
            </w:r>
          </w:p>
          <w:p>
            <w:pPr>
              <w:pStyle w:val="Normal"/>
              <w:keepNext w:val="true"/>
              <w:tabs>
                <w:tab w:val="clear" w:pos="720"/>
                <w:tab w:val="left" w:pos="2880" w:leader="none"/>
                <w:tab w:val="left" w:pos="9360" w:leader="none"/>
              </w:tabs>
              <w:jc w:val="both"/>
              <w:rPr>
                <w:sz w:val="24"/>
              </w:rPr>
            </w:pPr>
            <w:r>
              <w:rPr>
                <w:sz w:val="24"/>
              </w:rPr>
              <w:t>Street Address:</w:t>
            </w:r>
          </w:p>
          <w:p>
            <w:pPr>
              <w:pStyle w:val="Normal"/>
              <w:keepNext w:val="true"/>
              <w:tabs>
                <w:tab w:val="clear" w:pos="720"/>
                <w:tab w:val="left" w:pos="2880" w:leader="none"/>
                <w:tab w:val="left" w:pos="4320" w:leader="none"/>
                <w:tab w:val="left" w:pos="9360" w:leader="none"/>
              </w:tabs>
              <w:rPr>
                <w:sz w:val="24"/>
              </w:rPr>
            </w:pPr>
            <w:r>
              <w:rPr>
                <w:sz w:val="24"/>
              </w:rPr>
              <w:t>(for courier delivery)</w:t>
            </w:r>
          </w:p>
        </w:tc>
        <w:tc>
          <w:tcPr>
            <w:tcW w:w="4394" w:type="dxa"/>
            <w:tcBorders/>
          </w:tcPr>
          <w:p>
            <w:pPr>
              <w:pStyle w:val="Normal"/>
              <w:tabs>
                <w:tab w:val="clear" w:pos="720"/>
                <w:tab w:val="left" w:pos="4230" w:leader="none"/>
                <w:tab w:val="left" w:pos="9360" w:leader="none"/>
              </w:tabs>
              <w:jc w:val="both"/>
              <w:rPr>
                <w:sz w:val="24"/>
              </w:rPr>
            </w:pPr>
            <w:r>
              <w:rPr>
                <w:sz w:val="24"/>
              </w:rPr>
              <w:t>Enron Capital &amp; Trade Resources Limited</w:t>
            </w:r>
          </w:p>
          <w:p>
            <w:pPr>
              <w:pStyle w:val="Normal"/>
              <w:tabs>
                <w:tab w:val="clear" w:pos="720"/>
                <w:tab w:val="left" w:pos="4230" w:leader="none"/>
                <w:tab w:val="left" w:pos="9360" w:leader="none"/>
              </w:tabs>
              <w:jc w:val="both"/>
              <w:rPr>
                <w:sz w:val="24"/>
              </w:rPr>
            </w:pPr>
            <w:r>
              <w:rPr>
                <w:sz w:val="24"/>
              </w:rPr>
            </w:r>
          </w:p>
          <w:p>
            <w:pPr>
              <w:pStyle w:val="Justified"/>
              <w:tabs>
                <w:tab w:val="clear" w:pos="720"/>
                <w:tab w:val="left" w:pos="4230" w:leader="none"/>
                <w:tab w:val="left" w:pos="9360" w:leader="none"/>
              </w:tabs>
              <w:spacing w:before="0" w:after="0"/>
              <w:rPr>
                <w:rFonts w:ascii="Times New Roman" w:hAnsi="Times New Roman" w:cs="Times New Roman"/>
                <w:sz w:val="24"/>
              </w:rPr>
            </w:pPr>
            <w:r>
              <w:rPr>
                <w:rFonts w:cs="Times New Roman" w:ascii="Times New Roman" w:hAnsi="Times New Roman"/>
                <w:sz w:val="24"/>
              </w:rPr>
              <w:t>Four Millbank</w:t>
            </w:r>
          </w:p>
          <w:p>
            <w:pPr>
              <w:pStyle w:val="Normal"/>
              <w:tabs>
                <w:tab w:val="clear" w:pos="720"/>
                <w:tab w:val="left" w:pos="4230" w:leader="none"/>
                <w:tab w:val="left" w:pos="9360" w:leader="none"/>
              </w:tabs>
              <w:jc w:val="both"/>
              <w:rPr>
                <w:sz w:val="24"/>
              </w:rPr>
            </w:pPr>
            <w:r>
              <w:rPr>
                <w:sz w:val="24"/>
              </w:rPr>
              <w:t>London  SW1P 3ET</w:t>
            </w:r>
          </w:p>
          <w:p>
            <w:pPr>
              <w:pStyle w:val="Normal"/>
              <w:tabs>
                <w:tab w:val="clear" w:pos="720"/>
                <w:tab w:val="left" w:pos="4230" w:leader="none"/>
                <w:tab w:val="left" w:pos="9360" w:leader="none"/>
              </w:tabs>
              <w:rPr>
                <w:sz w:val="24"/>
              </w:rPr>
            </w:pPr>
            <w:r>
              <w:rPr>
                <w:sz w:val="24"/>
              </w:rPr>
              <w:t>Attn: Documentation Department</w:t>
            </w:r>
          </w:p>
        </w:tc>
        <w:tc>
          <w:tcPr>
            <w:tcW w:w="3638" w:type="dxa"/>
            <w:tcBorders/>
          </w:tcPr>
          <w:p>
            <w:pPr>
              <w:pStyle w:val="Normal"/>
              <w:tabs>
                <w:tab w:val="clear" w:pos="720"/>
                <w:tab w:val="left" w:pos="4230" w:leader="none"/>
                <w:tab w:val="left" w:pos="9360" w:leader="none"/>
              </w:tabs>
              <w:snapToGrid w:val="false"/>
              <w:ind w:start="72" w:end="0"/>
              <w:jc w:val="both"/>
              <w:rPr>
                <w:sz w:val="24"/>
              </w:rPr>
            </w:pPr>
            <w:r>
              <w:rPr>
                <w:sz w:val="24"/>
              </w:rPr>
            </w:r>
          </w:p>
          <w:p>
            <w:pPr>
              <w:pStyle w:val="Normal"/>
              <w:tabs>
                <w:tab w:val="clear" w:pos="720"/>
                <w:tab w:val="left" w:pos="4230" w:leader="none"/>
                <w:tab w:val="left" w:pos="9360" w:leader="none"/>
              </w:tabs>
              <w:ind w:start="72" w:end="0"/>
              <w:jc w:val="both"/>
              <w:rPr>
                <w:sz w:val="24"/>
              </w:rPr>
            </w:pPr>
            <w:r>
              <w:rPr>
                <w:sz w:val="24"/>
              </w:rPr>
            </w:r>
          </w:p>
          <w:p>
            <w:pPr>
              <w:pStyle w:val="Normal"/>
              <w:tabs>
                <w:tab w:val="clear" w:pos="720"/>
                <w:tab w:val="left" w:pos="4230" w:leader="none"/>
                <w:tab w:val="left" w:pos="9360" w:leader="none"/>
              </w:tabs>
              <w:ind w:start="72" w:end="0"/>
              <w:jc w:val="both"/>
              <w:rPr>
                <w:sz w:val="24"/>
              </w:rPr>
            </w:pPr>
            <w:r>
              <w:rPr>
                <w:sz w:val="24"/>
              </w:rPr>
            </w:r>
          </w:p>
          <w:p>
            <w:pPr>
              <w:pStyle w:val="Normal"/>
              <w:tabs>
                <w:tab w:val="clear" w:pos="720"/>
                <w:tab w:val="left" w:pos="1735" w:leader="none"/>
                <w:tab w:val="left" w:pos="4230" w:leader="none"/>
                <w:tab w:val="left" w:pos="9360" w:leader="none"/>
              </w:tabs>
              <w:ind w:start="72" w:end="0"/>
              <w:jc w:val="both"/>
              <w:rPr>
                <w:sz w:val="24"/>
                <w:u w:val="single"/>
              </w:rPr>
            </w:pPr>
            <w:r>
              <w:rPr>
                <w:sz w:val="24"/>
              </w:rPr>
              <w:t>Facsimile No.:</w:t>
              <w:tab/>
              <w:t>44-171-873-0147</w:t>
            </w:r>
          </w:p>
          <w:p>
            <w:pPr>
              <w:pStyle w:val="Normal"/>
              <w:tabs>
                <w:tab w:val="clear" w:pos="720"/>
                <w:tab w:val="left" w:pos="1735" w:leader="none"/>
                <w:tab w:val="left" w:pos="4230" w:leader="none"/>
                <w:tab w:val="left" w:pos="9360" w:leader="none"/>
              </w:tabs>
              <w:ind w:start="72" w:end="0"/>
              <w:jc w:val="both"/>
              <w:rPr>
                <w:sz w:val="24"/>
              </w:rPr>
            </w:pPr>
            <w:r>
              <w:rPr>
                <w:sz w:val="24"/>
              </w:rPr>
              <w:t xml:space="preserve">Telephone No.:  </w:t>
              <w:tab/>
              <w:t>44-171-316-5300</w:t>
            </w:r>
          </w:p>
        </w:tc>
      </w:tr>
    </w:tbl>
    <w:p>
      <w:pPr>
        <w:pStyle w:val="Normal"/>
        <w:jc w:val="center"/>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tbl>
      <w:tblPr>
        <w:tblW w:w="10301" w:type="dxa"/>
        <w:jc w:val="start"/>
        <w:tblInd w:w="-743" w:type="dxa"/>
        <w:tblLayout w:type="fixed"/>
        <w:tblCellMar>
          <w:top w:w="0" w:type="dxa"/>
          <w:start w:w="108" w:type="dxa"/>
          <w:bottom w:w="0" w:type="dxa"/>
          <w:end w:w="108" w:type="dxa"/>
        </w:tblCellMar>
      </w:tblPr>
      <w:tblGrid>
        <w:gridCol w:w="2269"/>
        <w:gridCol w:w="4394"/>
        <w:gridCol w:w="3638"/>
      </w:tblGrid>
      <w:tr>
        <w:trPr/>
        <w:tc>
          <w:tcPr>
            <w:tcW w:w="10301" w:type="dxa"/>
            <w:gridSpan w:val="3"/>
            <w:tcBorders/>
          </w:tcPr>
          <w:p>
            <w:pPr>
              <w:pStyle w:val="Normal"/>
              <w:numPr>
                <w:ilvl w:val="0"/>
                <w:numId w:val="0"/>
              </w:numPr>
              <w:tabs>
                <w:tab w:val="clear" w:pos="720"/>
                <w:tab w:val="left" w:pos="0" w:leader="none"/>
              </w:tabs>
              <w:suppressAutoHyphens w:val="true"/>
              <w:spacing w:before="0" w:after="240"/>
              <w:ind w:hanging="0" w:start="0"/>
              <w:jc w:val="center"/>
              <w:rPr>
                <w:b/>
                <w:spacing w:val="-2"/>
                <w:sz w:val="24"/>
                <w:u w:val="single"/>
              </w:rPr>
            </w:pPr>
            <w:r>
              <w:rPr>
                <w:b/>
                <w:spacing w:val="-2"/>
                <w:sz w:val="24"/>
                <w:u w:val="single"/>
              </w:rPr>
              <w:t>NATIONAL POWER PLC</w:t>
            </w:r>
          </w:p>
          <w:p>
            <w:pPr>
              <w:pStyle w:val="Normal"/>
              <w:numPr>
                <w:ilvl w:val="0"/>
                <w:numId w:val="0"/>
              </w:numPr>
              <w:tabs>
                <w:tab w:val="clear" w:pos="720"/>
                <w:tab w:val="left" w:pos="0" w:leader="none"/>
              </w:tabs>
              <w:suppressAutoHyphens w:val="true"/>
              <w:ind w:hanging="0" w:start="0"/>
              <w:rPr>
                <w:b/>
                <w:spacing w:val="-2"/>
                <w:sz w:val="24"/>
                <w:u w:val="single"/>
              </w:rPr>
            </w:pPr>
            <w:r>
              <w:rPr>
                <w:b/>
                <w:spacing w:val="-2"/>
                <w:sz w:val="24"/>
                <w:u w:val="single"/>
              </w:rPr>
            </w:r>
          </w:p>
        </w:tc>
      </w:tr>
      <w:tr>
        <w:trPr/>
        <w:tc>
          <w:tcPr>
            <w:tcW w:w="2269" w:type="dxa"/>
            <w:tcBorders/>
          </w:tcPr>
          <w:p>
            <w:pPr>
              <w:pStyle w:val="Normal"/>
              <w:keepNext w:val="true"/>
              <w:tabs>
                <w:tab w:val="clear" w:pos="720"/>
                <w:tab w:val="left" w:pos="2880" w:leader="none"/>
                <w:tab w:val="left" w:pos="4320" w:leader="none"/>
                <w:tab w:val="left" w:pos="9360" w:leader="none"/>
              </w:tabs>
              <w:jc w:val="both"/>
              <w:rPr>
                <w:sz w:val="24"/>
              </w:rPr>
            </w:pPr>
            <w:r>
              <w:rPr>
                <w:sz w:val="24"/>
              </w:rPr>
              <w:t xml:space="preserve">Address: </w:t>
            </w:r>
          </w:p>
          <w:p>
            <w:pPr>
              <w:pStyle w:val="Normal"/>
              <w:keepNext w:val="true"/>
              <w:tabs>
                <w:tab w:val="clear" w:pos="720"/>
                <w:tab w:val="left" w:pos="2880" w:leader="none"/>
                <w:tab w:val="left" w:pos="4320" w:leader="none"/>
                <w:tab w:val="left" w:pos="9360" w:leader="none"/>
              </w:tabs>
              <w:jc w:val="both"/>
              <w:rPr>
                <w:sz w:val="24"/>
              </w:rPr>
            </w:pPr>
            <w:r>
              <w:rPr>
                <w:sz w:val="24"/>
              </w:rPr>
            </w:r>
          </w:p>
          <w:p>
            <w:pPr>
              <w:pStyle w:val="Normal"/>
              <w:keepNext w:val="true"/>
              <w:tabs>
                <w:tab w:val="clear" w:pos="720"/>
                <w:tab w:val="left" w:pos="2880" w:leader="none"/>
                <w:tab w:val="left" w:pos="9360" w:leader="none"/>
              </w:tabs>
              <w:jc w:val="both"/>
              <w:rPr>
                <w:sz w:val="24"/>
              </w:rPr>
            </w:pPr>
            <w:r>
              <w:rPr>
                <w:sz w:val="24"/>
              </w:rPr>
              <w:t>Street Address:</w:t>
            </w:r>
          </w:p>
          <w:p>
            <w:pPr>
              <w:pStyle w:val="Normal"/>
              <w:keepNext w:val="true"/>
              <w:tabs>
                <w:tab w:val="clear" w:pos="720"/>
                <w:tab w:val="left" w:pos="2880" w:leader="none"/>
                <w:tab w:val="left" w:pos="4320" w:leader="none"/>
                <w:tab w:val="left" w:pos="9360" w:leader="none"/>
              </w:tabs>
              <w:rPr>
                <w:sz w:val="24"/>
              </w:rPr>
            </w:pPr>
            <w:r>
              <w:rPr>
                <w:sz w:val="24"/>
              </w:rPr>
              <w:t>(for courier delivery)</w:t>
            </w:r>
          </w:p>
        </w:tc>
        <w:tc>
          <w:tcPr>
            <w:tcW w:w="4394" w:type="dxa"/>
            <w:tcBorders/>
          </w:tcPr>
          <w:p>
            <w:pPr>
              <w:pStyle w:val="Normal"/>
              <w:tabs>
                <w:tab w:val="clear" w:pos="720"/>
                <w:tab w:val="left" w:pos="4230" w:leader="none"/>
                <w:tab w:val="left" w:pos="9360" w:leader="none"/>
              </w:tabs>
              <w:snapToGrid w:val="false"/>
              <w:rPr>
                <w:sz w:val="24"/>
              </w:rPr>
            </w:pPr>
            <w:r>
              <w:rPr>
                <w:sz w:val="24"/>
              </w:rPr>
            </w:r>
          </w:p>
        </w:tc>
        <w:tc>
          <w:tcPr>
            <w:tcW w:w="3638" w:type="dxa"/>
            <w:tcBorders/>
          </w:tcPr>
          <w:p>
            <w:pPr>
              <w:pStyle w:val="Normal"/>
              <w:tabs>
                <w:tab w:val="clear" w:pos="720"/>
                <w:tab w:val="left" w:pos="4230" w:leader="none"/>
                <w:tab w:val="left" w:pos="9360" w:leader="none"/>
              </w:tabs>
              <w:snapToGrid w:val="false"/>
              <w:ind w:start="72" w:end="0"/>
              <w:jc w:val="both"/>
              <w:rPr>
                <w:sz w:val="24"/>
              </w:rPr>
            </w:pPr>
            <w:r>
              <w:rPr>
                <w:sz w:val="24"/>
              </w:rPr>
            </w:r>
          </w:p>
          <w:p>
            <w:pPr>
              <w:pStyle w:val="Normal"/>
              <w:tabs>
                <w:tab w:val="clear" w:pos="720"/>
                <w:tab w:val="left" w:pos="4230" w:leader="none"/>
                <w:tab w:val="left" w:pos="9360" w:leader="none"/>
              </w:tabs>
              <w:ind w:start="72" w:end="0"/>
              <w:jc w:val="both"/>
              <w:rPr>
                <w:sz w:val="24"/>
              </w:rPr>
            </w:pPr>
            <w:r>
              <w:rPr>
                <w:sz w:val="24"/>
              </w:rPr>
            </w:r>
          </w:p>
          <w:p>
            <w:pPr>
              <w:pStyle w:val="Normal"/>
              <w:tabs>
                <w:tab w:val="clear" w:pos="720"/>
                <w:tab w:val="left" w:pos="4230" w:leader="none"/>
                <w:tab w:val="left" w:pos="9360" w:leader="none"/>
              </w:tabs>
              <w:ind w:start="72" w:end="0"/>
              <w:jc w:val="both"/>
              <w:rPr>
                <w:sz w:val="24"/>
              </w:rPr>
            </w:pPr>
            <w:r>
              <w:rPr>
                <w:sz w:val="24"/>
              </w:rPr>
            </w:r>
          </w:p>
          <w:p>
            <w:pPr>
              <w:pStyle w:val="Normal"/>
              <w:tabs>
                <w:tab w:val="clear" w:pos="720"/>
                <w:tab w:val="left" w:pos="1735" w:leader="none"/>
                <w:tab w:val="left" w:pos="4230" w:leader="none"/>
                <w:tab w:val="left" w:pos="9360" w:leader="none"/>
              </w:tabs>
              <w:ind w:start="72" w:end="0"/>
              <w:jc w:val="both"/>
              <w:rPr>
                <w:sz w:val="24"/>
                <w:u w:val="single"/>
              </w:rPr>
            </w:pPr>
            <w:r>
              <w:rPr>
                <w:sz w:val="24"/>
              </w:rPr>
              <w:t>Facsimile No.:</w:t>
              <w:tab/>
            </w:r>
          </w:p>
          <w:p>
            <w:pPr>
              <w:pStyle w:val="Normal"/>
              <w:tabs>
                <w:tab w:val="clear" w:pos="720"/>
                <w:tab w:val="left" w:pos="1735" w:leader="none"/>
                <w:tab w:val="left" w:pos="4230" w:leader="none"/>
                <w:tab w:val="left" w:pos="9360" w:leader="none"/>
              </w:tabs>
              <w:ind w:start="72" w:end="0"/>
              <w:jc w:val="both"/>
              <w:rPr>
                <w:sz w:val="24"/>
              </w:rPr>
            </w:pPr>
            <w:r>
              <w:rPr>
                <w:sz w:val="24"/>
              </w:rPr>
              <w:t xml:space="preserve">Telephone No.:  </w:t>
              <w:tab/>
            </w:r>
          </w:p>
        </w:tc>
      </w:tr>
    </w:tbl>
    <w:p>
      <w:pPr>
        <w:sectPr>
          <w:headerReference w:type="default" r:id="rId19"/>
          <w:headerReference w:type="first" r:id="rId20"/>
          <w:footerReference w:type="default" r:id="rId21"/>
          <w:footerReference w:type="first" r:id="rId22"/>
          <w:type w:val="nextPage"/>
          <w:pgSz w:w="11906" w:h="16838"/>
          <w:pgMar w:left="1701" w:right="1800" w:gutter="0" w:header="720" w:top="1440" w:footer="720" w:bottom="1440"/>
          <w:pgNumType w:fmt="decimal"/>
          <w:formProt w:val="false"/>
          <w:textDirection w:val="lrTb"/>
          <w:docGrid w:type="default" w:linePitch="360" w:charSpace="0"/>
        </w:sectPr>
      </w:pPr>
    </w:p>
    <w:p>
      <w:pPr>
        <w:pStyle w:val="Normal"/>
        <w:rPr/>
      </w:pPr>
      <w:r>
        <w:rPr>
          <w:spacing w:val="-2"/>
          <w:sz w:val="24"/>
        </w:rPr>
        <w:t xml:space="preserve">EXECUTED effective as of </w:t>
      </w:r>
      <w:r>
        <w:rPr>
          <w:spacing w:val="-2"/>
          <w:sz w:val="24"/>
          <w:u w:val="single"/>
        </w:rPr>
        <w:tab/>
        <w:tab/>
      </w:r>
      <w:r>
        <w:rPr>
          <w:spacing w:val="-2"/>
          <w:sz w:val="24"/>
        </w:rPr>
        <w:t>.</w:t>
      </w:r>
    </w:p>
    <w:p>
      <w:pPr>
        <w:pStyle w:val="Normal"/>
        <w:rPr>
          <w:spacing w:val="-2"/>
          <w:sz w:val="24"/>
        </w:rPr>
      </w:pPr>
      <w:r>
        <w:rPr>
          <w:spacing w:val="-2"/>
          <w:sz w:val="24"/>
        </w:rPr>
      </w:r>
    </w:p>
    <w:p>
      <w:pPr>
        <w:pStyle w:val="Normal"/>
        <w:rPr>
          <w:spacing w:val="-2"/>
          <w:sz w:val="24"/>
        </w:rPr>
      </w:pPr>
      <w:r>
        <w:rPr>
          <w:spacing w:val="-2"/>
          <w:sz w:val="24"/>
        </w:rPr>
      </w:r>
    </w:p>
    <w:p>
      <w:pPr>
        <w:pStyle w:val="Normal"/>
        <w:rPr/>
      </w:pPr>
      <w:r>
        <w:rPr>
          <w:b/>
          <w:sz w:val="24"/>
        </w:rPr>
        <w:t>ENRON CAPITAL &amp; TRADE RESOURCES LIMITED</w:t>
      </w:r>
      <w:r>
        <w:rPr>
          <w:spacing w:val="-2"/>
          <w:sz w:val="24"/>
        </w:rPr>
        <w:tab/>
        <w:tab/>
        <w:tab/>
      </w:r>
    </w:p>
    <w:p>
      <w:pPr>
        <w:pStyle w:val="Normal"/>
        <w:rPr>
          <w:spacing w:val="-2"/>
          <w:sz w:val="24"/>
        </w:rPr>
      </w:pPr>
      <w:r>
        <w:rPr>
          <w:spacing w:val="-2"/>
          <w:sz w:val="24"/>
        </w:rPr>
      </w:r>
    </w:p>
    <w:p>
      <w:pPr>
        <w:pStyle w:val="Normal"/>
        <w:rPr>
          <w:spacing w:val="-2"/>
          <w:sz w:val="24"/>
        </w:rPr>
      </w:pPr>
      <w:r>
        <w:rPr>
          <w:spacing w:val="-2"/>
          <w:sz w:val="24"/>
        </w:rPr>
      </w:r>
    </w:p>
    <w:p>
      <w:pPr>
        <w:pStyle w:val="Normal"/>
        <w:rPr>
          <w:spacing w:val="-2"/>
          <w:sz w:val="24"/>
        </w:rPr>
      </w:pPr>
      <w:r>
        <w:rPr>
          <w:spacing w:val="-2"/>
          <w:sz w:val="24"/>
        </w:rPr>
        <w:t>By:   _____________________</w:t>
      </w:r>
    </w:p>
    <w:p>
      <w:pPr>
        <w:pStyle w:val="Normal"/>
        <w:rPr>
          <w:spacing w:val="-2"/>
          <w:sz w:val="24"/>
        </w:rPr>
      </w:pPr>
      <w:r>
        <w:rPr>
          <w:spacing w:val="-2"/>
          <w:sz w:val="24"/>
        </w:rPr>
      </w:r>
    </w:p>
    <w:p>
      <w:pPr>
        <w:pStyle w:val="Normal"/>
        <w:rPr>
          <w:spacing w:val="-2"/>
          <w:sz w:val="24"/>
        </w:rPr>
      </w:pPr>
      <w:r>
        <w:rPr>
          <w:spacing w:val="-2"/>
          <w:sz w:val="24"/>
        </w:rPr>
        <w:t>Print Name:</w:t>
      </w:r>
    </w:p>
    <w:p>
      <w:pPr>
        <w:pStyle w:val="Normal"/>
        <w:rPr>
          <w:spacing w:val="-2"/>
          <w:sz w:val="24"/>
        </w:rPr>
      </w:pPr>
      <w:r>
        <w:rPr>
          <w:spacing w:val="-2"/>
          <w:sz w:val="24"/>
        </w:rPr>
        <w:t>Title:</w:t>
      </w:r>
    </w:p>
    <w:p>
      <w:pPr>
        <w:pStyle w:val="Normal"/>
        <w:rPr>
          <w:spacing w:val="-2"/>
          <w:sz w:val="24"/>
        </w:rPr>
      </w:pPr>
      <w:r>
        <w:rPr>
          <w:spacing w:val="-2"/>
          <w:sz w:val="24"/>
        </w:rPr>
      </w:r>
    </w:p>
    <w:p>
      <w:pPr>
        <w:pStyle w:val="Normal"/>
        <w:rPr>
          <w:spacing w:val="-2"/>
          <w:sz w:val="24"/>
        </w:rPr>
      </w:pPr>
      <w:r>
        <w:rPr>
          <w:spacing w:val="-2"/>
          <w:sz w:val="24"/>
        </w:rPr>
      </w:r>
    </w:p>
    <w:p>
      <w:pPr>
        <w:pStyle w:val="Normal"/>
        <w:rPr>
          <w:spacing w:val="-2"/>
          <w:sz w:val="24"/>
        </w:rPr>
      </w:pPr>
      <w:r>
        <w:rPr>
          <w:spacing w:val="-2"/>
          <w:sz w:val="24"/>
        </w:rPr>
      </w:r>
    </w:p>
    <w:p>
      <w:pPr>
        <w:pStyle w:val="Normal"/>
        <w:rPr>
          <w:spacing w:val="-2"/>
          <w:sz w:val="24"/>
        </w:rPr>
      </w:pPr>
      <w:r>
        <w:rPr>
          <w:b/>
          <w:sz w:val="24"/>
        </w:rPr>
        <w:t>NATIONAL POWER PLC</w:t>
      </w:r>
    </w:p>
    <w:p>
      <w:pPr>
        <w:pStyle w:val="Normal"/>
        <w:rPr>
          <w:spacing w:val="-2"/>
          <w:sz w:val="24"/>
        </w:rPr>
      </w:pPr>
      <w:r>
        <w:rPr>
          <w:spacing w:val="-2"/>
          <w:sz w:val="24"/>
        </w:rPr>
      </w:r>
    </w:p>
    <w:p>
      <w:pPr>
        <w:pStyle w:val="Normal"/>
        <w:rPr>
          <w:sz w:val="24"/>
        </w:rPr>
      </w:pPr>
      <w:r>
        <w:rPr>
          <w:sz w:val="24"/>
        </w:rPr>
      </w:r>
    </w:p>
    <w:p>
      <w:pPr>
        <w:pStyle w:val="Normal"/>
        <w:rPr>
          <w:spacing w:val="-2"/>
          <w:sz w:val="24"/>
        </w:rPr>
      </w:pPr>
      <w:r>
        <w:rPr>
          <w:spacing w:val="-2"/>
          <w:sz w:val="24"/>
        </w:rPr>
        <w:t>By: _____________________</w:t>
      </w:r>
    </w:p>
    <w:p>
      <w:pPr>
        <w:pStyle w:val="Normal"/>
        <w:rPr>
          <w:spacing w:val="-2"/>
          <w:sz w:val="24"/>
        </w:rPr>
      </w:pPr>
      <w:r>
        <w:rPr>
          <w:spacing w:val="-2"/>
          <w:sz w:val="24"/>
        </w:rPr>
      </w:r>
    </w:p>
    <w:p>
      <w:pPr>
        <w:pStyle w:val="Normal"/>
        <w:rPr>
          <w:spacing w:val="-2"/>
          <w:sz w:val="24"/>
        </w:rPr>
      </w:pPr>
      <w:r>
        <w:rPr>
          <w:spacing w:val="-2"/>
          <w:sz w:val="24"/>
        </w:rPr>
        <w:t>Print Name:</w:t>
      </w:r>
    </w:p>
    <w:p>
      <w:pPr>
        <w:pStyle w:val="Normal"/>
        <w:rPr>
          <w:spacing w:val="-2"/>
          <w:sz w:val="24"/>
        </w:rPr>
      </w:pPr>
      <w:r>
        <w:rPr>
          <w:spacing w:val="-2"/>
          <w:sz w:val="24"/>
        </w:rPr>
        <w:t>Title:</w:t>
      </w:r>
    </w:p>
    <w:p>
      <w:pPr>
        <w:pStyle w:val="Normal"/>
        <w:rPr>
          <w:spacing w:val="-2"/>
          <w:sz w:val="24"/>
        </w:rPr>
      </w:pPr>
      <w:r>
        <w:rPr>
          <w:spacing w:val="-2"/>
          <w:sz w:val="24"/>
        </w:rPr>
      </w:r>
    </w:p>
    <w:sectPr>
      <w:headerReference w:type="default" r:id="rId23"/>
      <w:headerReference w:type="first" r:id="rId24"/>
      <w:footerReference w:type="default" r:id="rId25"/>
      <w:footerReference w:type="first" r:id="rId26"/>
      <w:type w:val="nextPage"/>
      <w:pgSz w:w="11906" w:h="16838"/>
      <w:pgMar w:left="1701"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83820" cy="20955"/>
              <wp:effectExtent l="0" t="0" r="0" b="0"/>
              <wp:wrapSquare wrapText="bothSides"/>
              <wp:docPr id="4" name="Frame1"/>
              <a:graphic xmlns:a="http://schemas.openxmlformats.org/drawingml/2006/main">
                <a:graphicData uri="http://schemas.microsoft.com/office/word/2010/wordprocessingShape">
                  <wps:wsp>
                    <wps:cNvSpPr txBox="1"/>
                    <wps:spPr>
                      <a:xfrm>
                        <a:off x="0" y="0"/>
                        <a:ext cx="83820" cy="2095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6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r>
      <mc:AlternateContent>
        <mc:Choice Requires="wps">
          <w:drawing>
            <wp:anchor behindDoc="0" distT="0" distB="0" distL="0" distR="0" simplePos="0" locked="0" layoutInCell="0" allowOverlap="1" relativeHeight="19">
              <wp:simplePos x="0" y="0"/>
              <wp:positionH relativeFrom="margin">
                <wp:align>center</wp:align>
              </wp:positionH>
              <wp:positionV relativeFrom="paragraph">
                <wp:posOffset>635</wp:posOffset>
              </wp:positionV>
              <wp:extent cx="140335" cy="160655"/>
              <wp:effectExtent l="0" t="0" r="0" b="0"/>
              <wp:wrapSquare wrapText="bothSides"/>
              <wp:docPr id="9" name="Frame6"/>
              <a:graphic xmlns:a="http://schemas.openxmlformats.org/drawingml/2006/main">
                <a:graphicData uri="http://schemas.microsoft.com/office/word/2010/wordprocessingShape">
                  <wps:wsp>
                    <wps:cNvSpPr txBox="1"/>
                    <wps:spPr>
                      <a:xfrm>
                        <a:off x="0" y="0"/>
                        <a:ext cx="140335" cy="16065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1.05pt;height:12.65pt;mso-wrap-distance-left:0pt;mso-wrap-distance-right:0pt;mso-wrap-distance-top:0pt;mso-wrap-distance-bottom:0pt;margin-top:0.05pt;mso-position-vertical-relative:text;margin-left:204.6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txbxContent>
              </v:textbox>
              <w10:wrap type="square"/>
            </v:rect>
          </w:pict>
        </mc:Fallback>
      </mc:AlternateConten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t>Legal\PSimons\Agreements\MASTER NETTING AGREEMENT (24.6.99)</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83820" cy="20955"/>
              <wp:effectExtent l="0" t="0" r="0" b="0"/>
              <wp:wrapSquare wrapText="bothSides"/>
              <wp:docPr id="5" name="Frame2"/>
              <a:graphic xmlns:a="http://schemas.openxmlformats.org/drawingml/2006/main">
                <a:graphicData uri="http://schemas.microsoft.com/office/word/2010/wordprocessingShape">
                  <wps:wsp>
                    <wps:cNvSpPr txBox="1"/>
                    <wps:spPr>
                      <a:xfrm>
                        <a:off x="0" y="0"/>
                        <a:ext cx="83820" cy="2095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6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t>Legal\PSimons\Agreements\MASTER NETTING AGREEMENT (24.6.99)</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r>
      <mc:AlternateContent>
        <mc:Choice Requires="wps">
          <w:drawing>
            <wp:anchor behindDoc="0" distT="0" distB="0" distL="0" distR="0" simplePos="0" locked="0" layoutInCell="0" allowOverlap="1" relativeHeight="13">
              <wp:simplePos x="0" y="0"/>
              <wp:positionH relativeFrom="margin">
                <wp:align>center</wp:align>
              </wp:positionH>
              <wp:positionV relativeFrom="paragraph">
                <wp:posOffset>635</wp:posOffset>
              </wp:positionV>
              <wp:extent cx="140335" cy="160655"/>
              <wp:effectExtent l="0" t="0" r="0" b="0"/>
              <wp:wrapSquare wrapText="bothSides"/>
              <wp:docPr id="6" name="Frame3"/>
              <a:graphic xmlns:a="http://schemas.openxmlformats.org/drawingml/2006/main">
                <a:graphicData uri="http://schemas.microsoft.com/office/word/2010/wordprocessingShape">
                  <wps:wsp>
                    <wps:cNvSpPr txBox="1"/>
                    <wps:spPr>
                      <a:xfrm>
                        <a:off x="0" y="0"/>
                        <a:ext cx="140335" cy="16065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1.05pt;height:12.65pt;mso-wrap-distance-left:0pt;mso-wrap-distance-right:0pt;mso-wrap-distance-top:0pt;mso-wrap-distance-bottom:0pt;margin-top:0.05pt;mso-position-vertical-relative:text;margin-left:210.6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r>
      <mc:AlternateContent>
        <mc:Choice Requires="wps">
          <w:drawing>
            <wp:anchor behindDoc="0" distT="0" distB="0" distL="0" distR="0" simplePos="0" locked="0" layoutInCell="0" allowOverlap="1" relativeHeight="17">
              <wp:simplePos x="0" y="0"/>
              <wp:positionH relativeFrom="margin">
                <wp:align>center</wp:align>
              </wp:positionH>
              <wp:positionV relativeFrom="paragraph">
                <wp:posOffset>635</wp:posOffset>
              </wp:positionV>
              <wp:extent cx="140335" cy="160655"/>
              <wp:effectExtent l="0" t="0" r="0" b="0"/>
              <wp:wrapSquare wrapText="bothSides"/>
              <wp:docPr id="7" name="Frame4"/>
              <a:graphic xmlns:a="http://schemas.openxmlformats.org/drawingml/2006/main">
                <a:graphicData uri="http://schemas.microsoft.com/office/word/2010/wordprocessingShape">
                  <wps:wsp>
                    <wps:cNvSpPr txBox="1"/>
                    <wps:spPr>
                      <a:xfrm>
                        <a:off x="0" y="0"/>
                        <a:ext cx="140335" cy="16065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1.05pt;height:12.65pt;mso-wrap-distance-left:0pt;mso-wrap-distance-right:0pt;mso-wrap-distance-top:0pt;mso-wrap-distance-bottom:0pt;margin-top:0.05pt;mso-position-vertical-relative:text;margin-left:204.6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txbxContent>
              </v:textbox>
              <w10:wrap type="square"/>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r>
      <mc:AlternateContent>
        <mc:Choice Requires="wps">
          <w:drawing>
            <wp:anchor behindDoc="0" distT="0" distB="0" distL="0" distR="0" simplePos="0" locked="0" layoutInCell="0" allowOverlap="1" relativeHeight="18">
              <wp:simplePos x="0" y="0"/>
              <wp:positionH relativeFrom="margin">
                <wp:align>center</wp:align>
              </wp:positionH>
              <wp:positionV relativeFrom="paragraph">
                <wp:posOffset>635</wp:posOffset>
              </wp:positionV>
              <wp:extent cx="140335" cy="160655"/>
              <wp:effectExtent l="0" t="0" r="0" b="0"/>
              <wp:wrapSquare wrapText="bothSides"/>
              <wp:docPr id="8" name="Frame5"/>
              <a:graphic xmlns:a="http://schemas.openxmlformats.org/drawingml/2006/main">
                <a:graphicData uri="http://schemas.microsoft.com/office/word/2010/wordprocessingShape">
                  <wps:wsp>
                    <wps:cNvSpPr txBox="1"/>
                    <wps:spPr>
                      <a:xfrm>
                        <a:off x="0" y="0"/>
                        <a:ext cx="140335" cy="16065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1.05pt;height:12.65pt;mso-wrap-distance-left:0pt;mso-wrap-distance-right:0pt;mso-wrap-distance-top:0pt;mso-wrap-distance-bottom:0pt;margin-top:0.05pt;mso-position-vertical-relative:text;margin-left:204.6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WORKING DRAFT: 01/12/98</w:t>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DRAFT: 23/06/1999</w:t>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DRAFT: 23/06/1999</w:t>
    </w:r>
  </w:p>
  <w:p>
    <w:pPr>
      <w:pStyle w:val="Header"/>
      <w:jc w:val="end"/>
      <w:rPr>
        <w:b/>
      </w:rPr>
    </w:pPr>
    <w:r>
      <w:rPr>
        <w:b/>
      </w:rPr>
      <w:t>FOR DISCUSSION PURPOSES ONLY</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WORKING DRAFT: 01/12/98</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DRAFT: 23/06/1999</w:t>
    </w:r>
  </w:p>
  <w:p>
    <w:pPr>
      <w:pStyle w:val="Header"/>
      <w:jc w:val="end"/>
      <w:rPr>
        <w:b/>
      </w:rPr>
    </w:pPr>
    <w:r>
      <w:rPr>
        <w:b/>
      </w:rPr>
      <w:t>FOR DISCUSSION PURPOSES ONLY</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DRAFT: 23/06/1999</w: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DRAFT: 23/06/1999</w:t>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DRAFT: 23/06/1999</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720"/>
        </w:tabs>
        <w:ind w:start="720" w:hanging="720"/>
      </w:pPr>
      <w:rPr>
        <w:i w:val="false"/>
      </w:rPr>
    </w:lvl>
  </w:abstractNum>
  <w:abstractNum w:abstractNumId="3">
    <w:lvl w:ilvl="0">
      <w:start w:val="2"/>
      <w:numFmt w:val="lowerLetter"/>
      <w:lvlText w:val="(%1)"/>
      <w:lvlJc w:val="start"/>
      <w:pPr>
        <w:tabs>
          <w:tab w:val="num" w:pos="1137"/>
        </w:tabs>
        <w:ind w:start="1137" w:hanging="570"/>
      </w:pPr>
      <w:rPr/>
    </w:lvl>
  </w:abstractNum>
  <w:abstractNum w:abstractNumId="4">
    <w:lvl w:ilvl="0">
      <w:start w:val="2"/>
      <w:numFmt w:val="decimal"/>
      <w:lvlText w:val="%1."/>
      <w:lvlJc w:val="start"/>
      <w:pPr>
        <w:tabs>
          <w:tab w:val="num" w:pos="720"/>
        </w:tabs>
        <w:ind w:start="720" w:hanging="720"/>
      </w:pPr>
      <w:rPr/>
    </w:lvl>
    <w:lvl w:ilvl="1">
      <w:start w:val="1"/>
      <w:isLgl/>
      <w:numFmt w:val="decimal"/>
      <w:lvlText w:val="%1.%2"/>
      <w:lvlJc w:val="start"/>
      <w:pPr>
        <w:tabs>
          <w:tab w:val="num" w:pos="720"/>
        </w:tabs>
        <w:ind w:start="720" w:hanging="720"/>
      </w:pPr>
      <w:rPr/>
    </w:lvl>
    <w:lvl w:ilvl="2">
      <w:start w:val="1"/>
      <w:isLgl/>
      <w:numFmt w:val="decimal"/>
      <w:lvlText w:val="%1.%2.%3"/>
      <w:lvlJc w:val="start"/>
      <w:pPr>
        <w:tabs>
          <w:tab w:val="num" w:pos="720"/>
        </w:tabs>
        <w:ind w:start="720" w:hanging="720"/>
      </w:pPr>
      <w:rPr/>
    </w:lvl>
    <w:lvl w:ilvl="3">
      <w:start w:val="1"/>
      <w:isLgl/>
      <w:numFmt w:val="decimal"/>
      <w:lvlText w:val="%1.%2.%3.%4"/>
      <w:lvlJc w:val="start"/>
      <w:pPr>
        <w:tabs>
          <w:tab w:val="num" w:pos="720"/>
        </w:tabs>
        <w:ind w:start="720" w:hanging="720"/>
      </w:pPr>
      <w:rPr/>
    </w:lvl>
    <w:lvl w:ilvl="4">
      <w:start w:val="1"/>
      <w:isLgl/>
      <w:numFmt w:val="decimal"/>
      <w:lvlText w:val="%1.%2.%3.%4.%5"/>
      <w:lvlJc w:val="start"/>
      <w:pPr>
        <w:tabs>
          <w:tab w:val="num" w:pos="1080"/>
        </w:tabs>
        <w:ind w:start="1080" w:hanging="1080"/>
      </w:pPr>
      <w:rPr/>
    </w:lvl>
    <w:lvl w:ilvl="5">
      <w:start w:val="1"/>
      <w:isLgl/>
      <w:numFmt w:val="decimal"/>
      <w:lvlText w:val="%1.%2.%3.%4.%5.%6"/>
      <w:lvlJc w:val="start"/>
      <w:pPr>
        <w:tabs>
          <w:tab w:val="num" w:pos="1080"/>
        </w:tabs>
        <w:ind w:start="1080" w:hanging="1080"/>
      </w:pPr>
      <w:rPr/>
    </w:lvl>
    <w:lvl w:ilvl="6">
      <w:start w:val="1"/>
      <w:isLgl/>
      <w:numFmt w:val="decimal"/>
      <w:lvlText w:val="%1.%2.%3.%4.%5.%6.%7"/>
      <w:lvlJc w:val="start"/>
      <w:pPr>
        <w:tabs>
          <w:tab w:val="num" w:pos="1440"/>
        </w:tabs>
        <w:ind w:start="1440" w:hanging="1440"/>
      </w:pPr>
      <w:rPr/>
    </w:lvl>
    <w:lvl w:ilvl="7">
      <w:start w:val="1"/>
      <w:isLgl/>
      <w:numFmt w:val="decimal"/>
      <w:lvlText w:val="%1.%2.%3.%4.%5.%6.%7.%8"/>
      <w:lvlJc w:val="start"/>
      <w:pPr>
        <w:tabs>
          <w:tab w:val="num" w:pos="1440"/>
        </w:tabs>
        <w:ind w:start="1440" w:hanging="1440"/>
      </w:pPr>
      <w:rPr/>
    </w:lvl>
    <w:lvl w:ilvl="8">
      <w:start w:val="1"/>
      <w:isLgl/>
      <w:numFmt w:val="decimal"/>
      <w:lvlText w:val="%1.%2.%3.%4.%5.%6.%7.%8.%9"/>
      <w:lvlJc w:val="start"/>
      <w:pPr>
        <w:tabs>
          <w:tab w:val="num" w:pos="1440"/>
        </w:tabs>
        <w:ind w:start="1440" w:hanging="1440"/>
      </w:pPr>
      <w:rPr/>
    </w:lvl>
  </w:abstractNum>
  <w:abstractNum w:abstractNumId="5">
    <w:lvl w:ilvl="0">
      <w:start w:val="1"/>
      <w:numFmt w:val="upperLetter"/>
      <w:lvlText w:val="(%1)"/>
      <w:lvlJc w:val="start"/>
      <w:pPr>
        <w:tabs>
          <w:tab w:val="num" w:pos="720"/>
        </w:tabs>
        <w:ind w:start="720" w:hanging="720"/>
      </w:pPr>
      <w:rPr/>
    </w:lvl>
  </w:abstractNum>
  <w:abstractNum w:abstractNumId="6">
    <w:lvl w:ilvl="0">
      <w:start w:val="5"/>
      <w:numFmt w:val="decimal"/>
      <w:lvlText w:val="%1"/>
      <w:lvlJc w:val="start"/>
      <w:pPr>
        <w:tabs>
          <w:tab w:val="num" w:pos="570"/>
        </w:tabs>
        <w:ind w:start="570" w:hanging="570"/>
      </w:pPr>
      <w:rPr/>
    </w:lvl>
    <w:lvl w:ilvl="1">
      <w:start w:val="1"/>
      <w:numFmt w:val="decimal"/>
      <w:lvlText w:val="%1.%2"/>
      <w:lvlJc w:val="start"/>
      <w:pPr>
        <w:tabs>
          <w:tab w:val="num" w:pos="570"/>
        </w:tabs>
        <w:ind w:start="570" w:hanging="57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7">
    <w:lvl w:ilvl="0">
      <w:start w:val="1"/>
      <w:numFmt w:val="decimal"/>
      <w:lvlText w:val="(%1)"/>
      <w:lvlJc w:val="start"/>
      <w:pPr>
        <w:tabs>
          <w:tab w:val="num" w:pos="720"/>
        </w:tabs>
        <w:ind w:start="720" w:hanging="720"/>
      </w:pPr>
      <w:rPr/>
    </w:lvl>
  </w:abstractNum>
  <w:abstractNum w:abstractNumId="8">
    <w:lvl w:ilvl="0">
      <w:start w:val="1"/>
      <w:numFmt w:val="lowerLetter"/>
      <w:lvlText w:val="(%1)"/>
      <w:lvlJc w:val="start"/>
      <w:pPr>
        <w:tabs>
          <w:tab w:val="num" w:pos="927"/>
        </w:tabs>
        <w:ind w:start="927" w:hanging="360"/>
      </w:pPr>
      <w:rPr/>
    </w:lvl>
  </w:abstractNum>
  <w:abstractNum w:abstractNumId="9">
    <w:lvl w:ilvl="0">
      <w:start w:val="1"/>
      <w:numFmt w:val="lowerRoman"/>
      <w:lvlText w:val="(%1)"/>
      <w:lvlJc w:val="start"/>
      <w:pPr>
        <w:tabs>
          <w:tab w:val="num" w:pos="720"/>
        </w:tabs>
        <w:ind w:start="567" w:hanging="0"/>
      </w:pPr>
    </w:lvl>
  </w:abstractNum>
  <w:abstractNum w:abstractNumId="10">
    <w:lvl w:ilvl="0">
      <w:start w:val="1"/>
      <w:numFmt w:val="upperLetter"/>
      <w:lvlText w:val="%1."/>
      <w:lvlJc w:val="start"/>
      <w:pPr>
        <w:tabs>
          <w:tab w:val="num" w:pos="360"/>
        </w:tabs>
        <w:ind w:start="0" w:hanging="0"/>
      </w:pPr>
      <w:rPr>
        <w:sz w:val="20"/>
        <w:i w:val="false"/>
        <w:b/>
        <w:rFonts w:ascii="Times New Roman" w:hAnsi="Times New Roman" w:cs="Times New Roman"/>
      </w:rPr>
    </w:lvl>
    <w:lvl w:ilvl="1">
      <w:start w:val="1"/>
      <w:numFmt w:val="lowerRoman"/>
      <w:lvlText w:val="(%2)"/>
      <w:lvlJc w:val="start"/>
      <w:pPr>
        <w:tabs>
          <w:tab w:val="num" w:pos="720"/>
        </w:tabs>
        <w:ind w:start="0" w:hanging="0"/>
      </w:pPr>
      <w:rPr/>
    </w:lvl>
    <w:lvl w:ilvl="2">
      <w:start w:val="1"/>
      <w:numFmt w:val="lowerLetter"/>
      <w:lvlText w:val="(%3)"/>
      <w:lvlJc w:val="start"/>
      <w:pPr>
        <w:tabs>
          <w:tab w:val="num" w:pos="785"/>
        </w:tabs>
        <w:ind w:start="425" w:hanging="0"/>
      </w:pPr>
      <w:rPr>
        <w:sz w:val="24"/>
        <w:rFonts w:ascii="Times New Roman" w:hAnsi="Times New Roman" w:cs="Times New Roman"/>
      </w:rPr>
    </w:lvl>
    <w:lvl w:ilvl="3">
      <w:start w:val="1"/>
      <w:numFmt w:val="decimal"/>
      <w:lvlText w:val="%1.%2.%3.%4."/>
      <w:lvlJc w:val="start"/>
      <w:pPr>
        <w:tabs>
          <w:tab w:val="num" w:pos="1800"/>
        </w:tabs>
        <w:ind w:start="1728" w:hanging="648"/>
      </w:pPr>
    </w:lvl>
    <w:lvl w:ilvl="4">
      <w:start w:val="1"/>
      <w:numFmt w:val="decimal"/>
      <w:lvlText w:val="%1.%2.%3.%4.%5."/>
      <w:lvlJc w:val="start"/>
      <w:pPr>
        <w:tabs>
          <w:tab w:val="num" w:pos="2520"/>
        </w:tabs>
        <w:ind w:start="2232" w:hanging="792"/>
      </w:pPr>
    </w:lvl>
    <w:lvl w:ilvl="5">
      <w:start w:val="1"/>
      <w:numFmt w:val="decimal"/>
      <w:lvlText w:val="%1.%2.%3.%4.%5.%6."/>
      <w:lvlJc w:val="start"/>
      <w:pPr>
        <w:tabs>
          <w:tab w:val="num" w:pos="2880"/>
        </w:tabs>
        <w:ind w:start="2736" w:hanging="936"/>
      </w:pPr>
    </w:lvl>
    <w:lvl w:ilvl="6">
      <w:start w:val="1"/>
      <w:numFmt w:val="decimal"/>
      <w:lvlText w:val="%1.%2.%3.%4.%5.%6.%7."/>
      <w:lvlJc w:val="start"/>
      <w:pPr>
        <w:tabs>
          <w:tab w:val="num" w:pos="3600"/>
        </w:tabs>
        <w:ind w:start="3240" w:hanging="1080"/>
      </w:pPr>
    </w:lvl>
    <w:lvl w:ilvl="7">
      <w:start w:val="1"/>
      <w:numFmt w:val="decimal"/>
      <w:lvlText w:val="%1.%2.%3.%4.%5.%6.%7.%8."/>
      <w:lvlJc w:val="start"/>
      <w:pPr>
        <w:tabs>
          <w:tab w:val="num" w:pos="3960"/>
        </w:tabs>
        <w:ind w:start="3744" w:hanging="1224"/>
      </w:pPr>
    </w:lvl>
    <w:lvl w:ilvl="8">
      <w:start w:val="1"/>
      <w:numFmt w:val="decimal"/>
      <w:lvlText w:val="%1.%2.%3.%4.%5.%6.%7.%8.%9."/>
      <w:lvlJc w:val="start"/>
      <w:pPr>
        <w:tabs>
          <w:tab w:val="num" w:pos="4680"/>
        </w:tabs>
        <w:ind w:start="4320" w:hanging="1440"/>
      </w:pPr>
    </w:lvl>
  </w:abstractNum>
  <w:abstractNum w:abstractNumId="11">
    <w:lvl w:ilvl="0">
      <w:start w:val="1"/>
      <w:numFmt w:val="lowerLetter"/>
      <w:lvlText w:val="(%1)"/>
      <w:lvlJc w:val="start"/>
      <w:pPr>
        <w:tabs>
          <w:tab w:val="num" w:pos="987"/>
        </w:tabs>
        <w:ind w:start="987" w:hanging="420"/>
      </w:pPr>
      <w:rPr/>
    </w:lvl>
  </w:abstractNum>
  <w:abstractNum w:abstractNumId="12">
    <w:lvl w:ilvl="0">
      <w:start w:val="1"/>
      <w:numFmt w:val="lowerRoman"/>
      <w:lvlText w:val="(%1)"/>
      <w:lvlJc w:val="start"/>
      <w:pPr>
        <w:tabs>
          <w:tab w:val="num" w:pos="720"/>
        </w:tabs>
        <w:ind w:start="720" w:hanging="720"/>
      </w:pPr>
      <w:rPr/>
    </w:lvl>
  </w:abstractNum>
  <w:abstractNum w:abstractNumId="13">
    <w:lvl w:ilvl="0">
      <w:start w:val="1"/>
      <w:numFmt w:val="decimal"/>
      <w:lvlText w:val="%1"/>
      <w:lvlJc w:val="start"/>
      <w:pPr>
        <w:tabs>
          <w:tab w:val="num" w:pos="720"/>
        </w:tabs>
        <w:ind w:start="720" w:hanging="720"/>
      </w:pPr>
      <w:rPr/>
    </w:lvl>
    <w:lvl w:ilvl="1">
      <w:start w:val="2"/>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14">
    <w:lvl w:ilvl="0">
      <w:start w:val="1"/>
      <w:numFmt w:val="decimal"/>
      <w:lvlText w:val="%1."/>
      <w:lvlJc w:val="start"/>
      <w:pPr>
        <w:tabs>
          <w:tab w:val="num" w:pos="425"/>
        </w:tabs>
        <w:ind w:start="425" w:hanging="425"/>
      </w:pPr>
    </w:lvl>
    <w:lvl w:ilvl="1">
      <w:start w:val="1"/>
      <w:numFmt w:val="decimal"/>
      <w:lvlText w:val="%2."/>
      <w:lvlJc w:val="start"/>
      <w:pPr>
        <w:tabs>
          <w:tab w:val="num" w:pos="851"/>
        </w:tabs>
        <w:ind w:start="851" w:hanging="426"/>
      </w:pPr>
      <w:rPr>
        <w:sz w:val="20"/>
        <w:i w:val="false"/>
        <w:b w:val="false"/>
        <w:rFonts w:ascii="Times New Roman" w:hAnsi="Times New Roman" w:cs="Times New Roman"/>
      </w:rPr>
    </w:lvl>
    <w:lvl w:ilvl="2">
      <w:start w:val="1"/>
      <w:numFmt w:val="lowerLetter"/>
      <w:lvlText w:val="%3."/>
      <w:lvlJc w:val="start"/>
      <w:pPr>
        <w:tabs>
          <w:tab w:val="num" w:pos="1276"/>
        </w:tabs>
        <w:ind w:start="1276" w:hanging="425"/>
      </w:pPr>
    </w:lvl>
    <w:lvl w:ilvl="3">
      <w:start w:val="1"/>
      <w:numFmt w:val="decimal"/>
      <w:lvlText w:val="(%4)"/>
      <w:lvlJc w:val="start"/>
      <w:pPr>
        <w:tabs>
          <w:tab w:val="num" w:pos="1440"/>
        </w:tabs>
        <w:ind w:start="1440" w:hanging="36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15">
    <w:lvl w:ilvl="0">
      <w:start w:val="1"/>
      <w:numFmt w:val="decimal"/>
      <w:lvlText w:val="%1."/>
      <w:lvlJc w:val="start"/>
      <w:pPr>
        <w:tabs>
          <w:tab w:val="num" w:pos="570"/>
        </w:tabs>
        <w:ind w:start="570" w:hanging="570"/>
      </w:pPr>
      <w:rPr/>
    </w:lvl>
  </w:abstractNum>
  <w:abstractNum w:abstractNumId="16">
    <w:lvl w:ilvl="0">
      <w:start w:val="1"/>
      <w:numFmt w:val="lowerRoman"/>
      <w:lvlText w:val="(%1)"/>
      <w:lvlJc w:val="start"/>
      <w:pPr>
        <w:tabs>
          <w:tab w:val="num" w:pos="720"/>
        </w:tabs>
        <w:ind w:start="72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w="http://schemas.openxmlformats.org/wordprocessingml/2006/main">
  <w:zoom w:val="bestFit" w:percent="20"/>
  <w:revisionView w:insDel="0" w:formatting="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keepLines/>
      <w:widowControl w:val="false"/>
      <w:numPr>
        <w:ilvl w:val="0"/>
        <w:numId w:val="1"/>
      </w:numPr>
      <w:suppressAutoHyphens w:val="true"/>
      <w:outlineLvl w:val="0"/>
    </w:pPr>
    <w:rPr>
      <w:b/>
      <w:spacing w:val="-2"/>
      <w:sz w:val="22"/>
      <w:lang w:val="en-GB"/>
    </w:rPr>
  </w:style>
  <w:style w:type="paragraph" w:styleId="Heading2">
    <w:name w:val="heading 2"/>
    <w:basedOn w:val="Normal"/>
    <w:next w:val="Normal"/>
    <w:qFormat/>
    <w:pPr>
      <w:keepNext w:val="true"/>
      <w:numPr>
        <w:ilvl w:val="1"/>
        <w:numId w:val="1"/>
      </w:numPr>
      <w:tabs>
        <w:tab w:val="clear" w:pos="720"/>
        <w:tab w:val="left" w:pos="567" w:leader="none"/>
      </w:tabs>
      <w:ind w:hanging="567" w:start="567" w:end="0"/>
      <w:outlineLvl w:val="1"/>
    </w:pPr>
    <w:rPr>
      <w:b/>
      <w:sz w:val="22"/>
      <w:lang w:val="en-GB"/>
    </w:rPr>
  </w:style>
  <w:style w:type="paragraph" w:styleId="Heading3">
    <w:name w:val="heading 3"/>
    <w:basedOn w:val="Normal"/>
    <w:next w:val="Normal"/>
    <w:qFormat/>
    <w:pPr>
      <w:keepNext w:val="true"/>
      <w:numPr>
        <w:ilvl w:val="2"/>
        <w:numId w:val="1"/>
      </w:numPr>
      <w:jc w:val="center"/>
      <w:outlineLvl w:val="2"/>
    </w:pPr>
    <w:rPr>
      <w:b/>
      <w:sz w:val="24"/>
      <w:lang w:val="en-GB"/>
    </w:rPr>
  </w:style>
  <w:style w:type="paragraph" w:styleId="Heading4">
    <w:name w:val="heading 4"/>
    <w:basedOn w:val="Normal"/>
    <w:next w:val="Normal"/>
    <w:qFormat/>
    <w:pPr>
      <w:keepNext w:val="true"/>
      <w:numPr>
        <w:ilvl w:val="3"/>
        <w:numId w:val="1"/>
      </w:numPr>
      <w:outlineLvl w:val="3"/>
    </w:pPr>
    <w:rPr>
      <w:b/>
    </w:rPr>
  </w:style>
  <w:style w:type="character" w:styleId="WW8Num1z0">
    <w:name w:val="WW8Num1z0"/>
    <w:qFormat/>
    <w:rPr/>
  </w:style>
  <w:style w:type="character" w:styleId="WW8Num2z0">
    <w:name w:val="WW8Num2z0"/>
    <w:qFormat/>
    <w:rPr>
      <w:i w:val="false"/>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10z0">
    <w:name w:val="WW8Num10z0"/>
    <w:qFormat/>
    <w:rPr>
      <w:b/>
      <w:u w:val="single"/>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rFonts w:ascii="Times New Roman" w:hAnsi="Times New Roman" w:cs="Times New Roman"/>
      <w:b w:val="false"/>
      <w:i w:val="false"/>
      <w:sz w:val="22"/>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b/>
    </w:rPr>
  </w:style>
  <w:style w:type="character" w:styleId="WW8Num26z1">
    <w:name w:val="WW8Num26z1"/>
    <w:qFormat/>
    <w:rPr/>
  </w:style>
  <w:style w:type="character" w:styleId="WW8Num27z0">
    <w:name w:val="WW8Num27z0"/>
    <w:qFormat/>
    <w:rPr/>
  </w:style>
  <w:style w:type="character" w:styleId="WW8Num29z0">
    <w:name w:val="WW8Num29z0"/>
    <w:qFormat/>
    <w:rPr>
      <w:rFonts w:ascii="Times New Roman" w:hAnsi="Times New Roman" w:cs="Times New Roman"/>
      <w:b w:val="false"/>
      <w:i w:val="false"/>
      <w:sz w:val="22"/>
    </w:rPr>
  </w:style>
  <w:style w:type="character" w:styleId="WW8Num30z0">
    <w:name w:val="WW8Num30z0"/>
    <w:qFormat/>
    <w:rPr/>
  </w:style>
  <w:style w:type="character" w:styleId="WW8Num31z0">
    <w:name w:val="WW8Num31z0"/>
    <w:qFormat/>
    <w:rPr/>
  </w:style>
  <w:style w:type="character" w:styleId="WW8Num32z0">
    <w:name w:val="WW8Num32z0"/>
    <w:qFormat/>
    <w:rPr>
      <w:b/>
    </w:rPr>
  </w:style>
  <w:style w:type="character" w:styleId="WW8Num33z0">
    <w:name w:val="WW8Num33z0"/>
    <w:qFormat/>
    <w:rPr/>
  </w:style>
  <w:style w:type="character" w:styleId="WW8Num34z0">
    <w:name w:val="WW8Num34z0"/>
    <w:qFormat/>
    <w:rPr>
      <w:rFonts w:ascii="Times New Roman" w:hAnsi="Times New Roman" w:cs="Times New Roman"/>
      <w:b/>
      <w:i w:val="false"/>
      <w:sz w:val="20"/>
    </w:rPr>
  </w:style>
  <w:style w:type="character" w:styleId="WW8Num34z1">
    <w:name w:val="WW8Num34z1"/>
    <w:qFormat/>
    <w:rPr/>
  </w:style>
  <w:style w:type="character" w:styleId="WW8Num34z2">
    <w:name w:val="WW8Num34z2"/>
    <w:qFormat/>
    <w:rPr>
      <w:rFonts w:ascii="Times New Roman" w:hAnsi="Times New Roman" w:cs="Times New Roman"/>
      <w:sz w:val="24"/>
    </w:rPr>
  </w:style>
  <w:style w:type="character" w:styleId="WW8Num35z0">
    <w:name w:val="WW8Num35z0"/>
    <w:qFormat/>
    <w:rPr/>
  </w:style>
  <w:style w:type="character" w:styleId="WW8Num36z0">
    <w:name w:val="WW8Num36z0"/>
    <w:qFormat/>
    <w:rPr/>
  </w:style>
  <w:style w:type="character" w:styleId="WW8Num37z0">
    <w:name w:val="WW8Num37z0"/>
    <w:qFormat/>
    <w:rPr/>
  </w:style>
  <w:style w:type="character" w:styleId="WW8Num38z0">
    <w:name w:val="WW8Num38z0"/>
    <w:qFormat/>
    <w:rPr/>
  </w:style>
  <w:style w:type="character" w:styleId="WW8Num39z0">
    <w:name w:val="WW8Num39z0"/>
    <w:qFormat/>
    <w:rPr/>
  </w:style>
  <w:style w:type="character" w:styleId="WW8Num40z0">
    <w:name w:val="WW8Num40z0"/>
    <w:qFormat/>
    <w:rPr/>
  </w:style>
  <w:style w:type="character" w:styleId="WW8Num41z0">
    <w:name w:val="WW8Num41z0"/>
    <w:qFormat/>
    <w:rPr/>
  </w:style>
  <w:style w:type="character" w:styleId="WW8Num42z0">
    <w:name w:val="WW8Num42z0"/>
    <w:qFormat/>
    <w:rPr/>
  </w:style>
  <w:style w:type="character" w:styleId="WW8Num43z0">
    <w:name w:val="WW8Num43z0"/>
    <w:qFormat/>
    <w:rPr/>
  </w:style>
  <w:style w:type="character" w:styleId="WW8Num44z0">
    <w:name w:val="WW8Num44z0"/>
    <w:qFormat/>
    <w:rPr/>
  </w:style>
  <w:style w:type="character" w:styleId="WW8Num46z0">
    <w:name w:val="WW8Num46z0"/>
    <w:qFormat/>
    <w:rPr/>
  </w:style>
  <w:style w:type="character" w:styleId="WW8Num47z0">
    <w:name w:val="WW8Num47z0"/>
    <w:qFormat/>
    <w:rPr/>
  </w:style>
  <w:style w:type="character" w:styleId="WW8Num48z0">
    <w:name w:val="WW8Num48z0"/>
    <w:qFormat/>
    <w:rPr/>
  </w:style>
  <w:style w:type="character" w:styleId="WW8Num49z0">
    <w:name w:val="WW8Num49z0"/>
    <w:qFormat/>
    <w:rPr/>
  </w:style>
  <w:style w:type="character" w:styleId="WW8Num50z0">
    <w:name w:val="WW8Num50z0"/>
    <w:qFormat/>
    <w:rPr/>
  </w:style>
  <w:style w:type="character" w:styleId="WW8Num51z1">
    <w:name w:val="WW8Num51z1"/>
    <w:qFormat/>
    <w:rPr>
      <w:rFonts w:ascii="Times New Roman" w:hAnsi="Times New Roman" w:cs="Times New Roman"/>
      <w:b w:val="false"/>
      <w:i w:val="false"/>
      <w:sz w:val="20"/>
    </w:rPr>
  </w:style>
  <w:style w:type="character" w:styleId="WW8Num52z0">
    <w:name w:val="WW8Num52z0"/>
    <w:qFormat/>
    <w:rPr/>
  </w:style>
  <w:style w:type="character" w:styleId="WW8Num53z0">
    <w:name w:val="WW8Num53z0"/>
    <w:qFormat/>
    <w:rPr/>
  </w:style>
  <w:style w:type="character" w:styleId="WW8Num54z0">
    <w:name w:val="WW8Num54z0"/>
    <w:qFormat/>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8z1">
    <w:name w:val="WW8Num58z1"/>
    <w:qFormat/>
    <w:rPr>
      <w:rFonts w:ascii="Times New Roman" w:hAnsi="Times New Roman" w:cs="Times New Roman"/>
      <w:b w:val="false"/>
      <w:i w:val="false"/>
      <w:sz w:val="20"/>
    </w:rPr>
  </w:style>
  <w:style w:type="character" w:styleId="WW8Num59z0">
    <w:name w:val="WW8Num59z0"/>
    <w:qFormat/>
    <w:rPr/>
  </w:style>
  <w:style w:type="character" w:styleId="WW8Num60z0">
    <w:name w:val="WW8Num60z0"/>
    <w:qFormat/>
    <w:rPr/>
  </w:style>
  <w:style w:type="character" w:styleId="WW8Num61z0">
    <w:name w:val="WW8Num61z0"/>
    <w:qFormat/>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rPr>
      <w:color w:val="000080"/>
      <w:u w:val="single"/>
    </w:rPr>
  </w:style>
  <w:style w:type="character" w:styleId="IndexLink">
    <w:name w:val="Index Link"/>
    <w:qFormat/>
    <w:rPr/>
  </w:style>
  <w:style w:type="paragraph" w:styleId="Heading">
    <w:name w:val="Heading"/>
    <w:basedOn w:val="Normal"/>
    <w:next w:val="BodyText"/>
    <w:qFormat/>
    <w:pPr>
      <w:jc w:val="center"/>
    </w:pPr>
    <w:rPr>
      <w:b/>
      <w:sz w:val="22"/>
      <w:u w:val="single"/>
      <w:lang w:val="en-G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4">
    <w:name w:val="toc 4"/>
    <w:basedOn w:val="Normal"/>
    <w:next w:val="Normal"/>
    <w:pPr>
      <w:numPr>
        <w:ilvl w:val="0"/>
        <w:numId w:val="14"/>
      </w:numPr>
    </w:pPr>
    <w:rPr>
      <w:sz w:val="22"/>
      <w:lang w:val="en-GB"/>
    </w:rPr>
  </w:style>
  <w:style w:type="paragraph" w:styleId="TOC1">
    <w:name w:val="toc 1"/>
    <w:basedOn w:val="Normal"/>
    <w:next w:val="Normal"/>
    <w:pPr>
      <w:widowControl w:val="false"/>
      <w:tabs>
        <w:tab w:val="clear" w:pos="720"/>
        <w:tab w:val="left" w:pos="567" w:leader="none"/>
        <w:tab w:val="right" w:pos="8789" w:leader="none"/>
      </w:tabs>
      <w:spacing w:before="240" w:after="0"/>
    </w:pPr>
    <w:rPr>
      <w:caps/>
      <w:sz w:val="22"/>
      <w:lang w:val="en-CA"/>
    </w:rPr>
  </w:style>
  <w:style w:type="paragraph" w:styleId="TOC2">
    <w:name w:val="toc 2"/>
    <w:basedOn w:val="Normal"/>
    <w:next w:val="Normal"/>
    <w:pPr>
      <w:tabs>
        <w:tab w:val="clear" w:pos="720"/>
        <w:tab w:val="left" w:pos="567" w:leader="none"/>
        <w:tab w:val="right" w:pos="8789" w:leader="none"/>
      </w:tabs>
      <w:spacing w:before="240" w:after="0"/>
    </w:pPr>
    <w:rPr>
      <w:sz w:val="22"/>
      <w:lang w:val="en-CA"/>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z w:val="22"/>
      <w:lang w:val="en-GB"/>
    </w:rPr>
  </w:style>
  <w:style w:type="paragraph" w:styleId="BodyTextIndent">
    <w:name w:val="Body Text Indent"/>
    <w:basedOn w:val="Normal"/>
    <w:pPr>
      <w:tabs>
        <w:tab w:val="clear" w:pos="720"/>
        <w:tab w:val="left" w:pos="0" w:leader="none"/>
        <w:tab w:val="left" w:pos="850" w:leader="none"/>
        <w:tab w:val="left" w:pos="1701" w:leader="none"/>
        <w:tab w:val="left" w:pos="2552" w:leader="none"/>
        <w:tab w:val="left" w:pos="3403" w:leader="none"/>
        <w:tab w:val="left" w:pos="4254" w:leader="none"/>
        <w:tab w:val="left" w:pos="5106" w:leader="none"/>
        <w:tab w:val="left" w:pos="5956" w:leader="none"/>
        <w:tab w:val="left" w:pos="6807" w:leader="none"/>
        <w:tab w:val="left" w:pos="7658" w:leader="none"/>
        <w:tab w:val="left" w:pos="8509" w:leader="none"/>
        <w:tab w:val="left" w:pos="8640" w:leader="none"/>
      </w:tabs>
      <w:suppressAutoHyphens w:val="true"/>
      <w:spacing w:before="0" w:after="240"/>
      <w:ind w:hanging="850" w:start="850" w:end="0"/>
      <w:jc w:val="both"/>
    </w:pPr>
    <w:rPr>
      <w:spacing w:val="-2"/>
      <w:sz w:val="22"/>
      <w:lang w:val="en-GB"/>
    </w:rPr>
  </w:style>
  <w:style w:type="paragraph" w:styleId="BodyTextIndent2">
    <w:name w:val="Body Text Indent 2"/>
    <w:basedOn w:val="Normal"/>
    <w:qFormat/>
    <w:pPr>
      <w:suppressAutoHyphens w:val="true"/>
      <w:spacing w:before="0" w:after="240"/>
      <w:ind w:hanging="567" w:start="567" w:end="0"/>
      <w:jc w:val="both"/>
    </w:pPr>
    <w:rPr>
      <w:spacing w:val="-2"/>
      <w:sz w:val="22"/>
      <w:lang w:val="en-GB"/>
    </w:rPr>
  </w:style>
  <w:style w:type="paragraph" w:styleId="BodyTextIndent3">
    <w:name w:val="Body Text Indent 3"/>
    <w:basedOn w:val="Normal"/>
    <w:qFormat/>
    <w:pPr>
      <w:spacing w:lineRule="atLeast" w:line="240"/>
      <w:ind w:hanging="0" w:start="567" w:end="0"/>
    </w:pPr>
    <w:rPr>
      <w:sz w:val="22"/>
      <w:lang w:val="en-GB"/>
    </w:rPr>
  </w:style>
  <w:style w:type="paragraph" w:styleId="Justified">
    <w:name w:val="Justified"/>
    <w:basedOn w:val="Normal"/>
    <w:next w:val="Heading2"/>
    <w:qFormat/>
    <w:pPr>
      <w:spacing w:before="0" w:after="120"/>
      <w:jc w:val="both"/>
    </w:pPr>
    <w:rPr>
      <w:rFonts w:ascii="Tms Rmn" w:hAnsi="Tms Rmn" w:cs="Tms Rmn"/>
      <w:sz w:val="22"/>
    </w:rPr>
  </w:style>
  <w:style w:type="paragraph" w:styleId="Footer">
    <w:name w:val="footer"/>
    <w:basedOn w:val="Normal"/>
    <w:pPr>
      <w:tabs>
        <w:tab w:val="clear" w:pos="720"/>
        <w:tab w:val="center" w:pos="4153" w:leader="none"/>
        <w:tab w:val="right" w:pos="8306" w:leader="none"/>
      </w:tabs>
    </w:pPr>
    <w:rPr>
      <w:sz w:val="22"/>
      <w:lang w:val="en-GB"/>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footer" Target="footer3.xml"/><Relationship Id="rId10" Type="http://schemas.openxmlformats.org/officeDocument/2006/relationships/footer" Target="footer4.xml"/><Relationship Id="rId11" Type="http://schemas.openxmlformats.org/officeDocument/2006/relationships/header" Target="header5.xml"/><Relationship Id="rId12" Type="http://schemas.openxmlformats.org/officeDocument/2006/relationships/header" Target="header6.xml"/><Relationship Id="rId13" Type="http://schemas.openxmlformats.org/officeDocument/2006/relationships/footer" Target="footer5.xml"/><Relationship Id="rId14" Type="http://schemas.openxmlformats.org/officeDocument/2006/relationships/footer" Target="footer6.xml"/><Relationship Id="rId15" Type="http://schemas.openxmlformats.org/officeDocument/2006/relationships/header" Target="header7.xml"/><Relationship Id="rId16" Type="http://schemas.openxmlformats.org/officeDocument/2006/relationships/header" Target="header8.xml"/><Relationship Id="rId17" Type="http://schemas.openxmlformats.org/officeDocument/2006/relationships/footer" Target="footer7.xml"/><Relationship Id="rId18" Type="http://schemas.openxmlformats.org/officeDocument/2006/relationships/footer" Target="footer8.xml"/><Relationship Id="rId19" Type="http://schemas.openxmlformats.org/officeDocument/2006/relationships/header" Target="header9.xml"/><Relationship Id="rId20" Type="http://schemas.openxmlformats.org/officeDocument/2006/relationships/header" Target="header10.xml"/><Relationship Id="rId21" Type="http://schemas.openxmlformats.org/officeDocument/2006/relationships/footer" Target="footer9.xml"/><Relationship Id="rId22" Type="http://schemas.openxmlformats.org/officeDocument/2006/relationships/footer" Target="footer10.xml"/><Relationship Id="rId23" Type="http://schemas.openxmlformats.org/officeDocument/2006/relationships/header" Target="header11.xml"/><Relationship Id="rId24" Type="http://schemas.openxmlformats.org/officeDocument/2006/relationships/header" Target="header12.xml"/><Relationship Id="rId25" Type="http://schemas.openxmlformats.org/officeDocument/2006/relationships/footer" Target="footer11.xml"/><Relationship Id="rId26" Type="http://schemas.openxmlformats.org/officeDocument/2006/relationships/footer" Target="footer12.xml"/><Relationship Id="rId27" Type="http://schemas.openxmlformats.org/officeDocument/2006/relationships/numbering" Target="numbering.xml"/><Relationship Id="rId28" Type="http://schemas.openxmlformats.org/officeDocument/2006/relationships/fontTable" Target="fontTable.xml"/><Relationship Id="rId29" Type="http://schemas.openxmlformats.org/officeDocument/2006/relationships/settings" Target="settings.xml"/><Relationship Id="rId3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1999-06-24T05:53:00Z</dcterms:created>
  <dc:creator>Jillian Woodley</dc:creator>
  <dc:description/>
  <dc:language>en-CA</dc:language>
  <cp:lastModifiedBy>NBeales</cp:lastModifiedBy>
  <cp:lastPrinted>1999-06-23T14:41:00Z</cp:lastPrinted>
  <dcterms:modified xsi:type="dcterms:W3CDTF">1999-06-24T05:53:00Z</dcterms:modified>
  <cp:revision>3</cp:revision>
  <dc:subject/>
  <dc:title>DATED</dc:title>
</cp:coreProperties>
</file>