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O:\LEGAL\MCOOK\FORMS\MASTER NETTING AGREEMENT CREDIT SUPPORT ANNEX A.DOC</w:t>
      </w:r>
    </w:p>
    <w:p>
      <w:pPr>
        <w:pStyle w:val="Normal"/>
        <w:bidi w:val="0"/>
        <w:jc w:val="start"/>
        <w:rPr/>
      </w:pPr>
      <w:r>
        <w:rPr/>
        <w:t>and revised document: O:\LEGAL\MCOOK\FORMS\MASTER NETTING AGREEMENT CREDIT SUPPORT ANNEX B.DOC</w:t>
      </w:r>
    </w:p>
    <w:p>
      <w:pPr>
        <w:pStyle w:val="Normal"/>
        <w:bidi w:val="0"/>
        <w:jc w:val="start"/>
        <w:rPr/>
      </w:pPr>
      <w:r>
        <w:rPr/>
      </w:r>
    </w:p>
    <w:p>
      <w:pPr>
        <w:pStyle w:val="Normal"/>
        <w:bidi w:val="0"/>
        <w:jc w:val="start"/>
        <w:rPr/>
      </w:pPr>
      <w:r>
        <w:rPr/>
        <w:t>CompareRite found        5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tabs>
          <w:tab w:val="clear" w:pos="720"/>
          <w:tab w:val="center" w:pos="4680" w:leader="none"/>
        </w:tabs>
        <w:suppressAutoHyphens w:val="true"/>
        <w:bidi w:val="0"/>
        <w:jc w:val="center"/>
        <w:rPr>
          <w:rFonts w:ascii="Times New Roman" w:hAnsi="Times New Roman"/>
          <w:b/>
          <w:sz w:val="22"/>
          <w:u w:val="single"/>
        </w:rPr>
      </w:pPr>
      <w:r>
        <w:rPr>
          <w:rFonts w:ascii="Times New Roman" w:hAnsi="Times New Roman"/>
          <w:b/>
          <w:sz w:val="22"/>
          <w:u w:val="single"/>
        </w:rPr>
        <w:t>ANNEX A</w:t>
      </w:r>
    </w:p>
    <w:p>
      <w:pPr>
        <w:pStyle w:val="Normal"/>
        <w:tabs>
          <w:tab w:val="clear" w:pos="720"/>
          <w:tab w:val="center" w:pos="4680" w:leader="none"/>
        </w:tabs>
        <w:suppressAutoHyphens w:val="true"/>
        <w:bidi w:val="0"/>
        <w:jc w:val="center"/>
        <w:rPr>
          <w:rFonts w:ascii="Times New Roman" w:hAnsi="Times New Roman"/>
          <w:b/>
          <w:sz w:val="22"/>
          <w:u w:val="single"/>
        </w:rPr>
      </w:pPr>
      <w:r>
        <w:rPr>
          <w:rFonts w:ascii="Times New Roman" w:hAnsi="Times New Roman"/>
          <w:b/>
          <w:sz w:val="22"/>
          <w:u w:val="single"/>
        </w:rPr>
        <w:t>COLLATERAL ANNEX</w:t>
      </w:r>
    </w:p>
    <w:p>
      <w:pPr>
        <w:pStyle w:val="Normal"/>
        <w:tabs>
          <w:tab w:val="clear" w:pos="720"/>
          <w:tab w:val="center" w:pos="4680" w:leader="none"/>
        </w:tabs>
        <w:suppressAutoHyphens w:val="true"/>
        <w:bidi w:val="0"/>
        <w:jc w:val="center"/>
        <w:rPr>
          <w:rFonts w:ascii="Times New Roman" w:hAnsi="Times New Roman"/>
          <w:sz w:val="22"/>
        </w:rPr>
      </w:pPr>
      <w:r>
        <w:rPr>
          <w:rFonts w:ascii="Times New Roman" w:hAnsi="Times New Roman"/>
          <w:b/>
          <w:sz w:val="22"/>
          <w:u w:val="single"/>
        </w:rPr>
        <w:t xml:space="preserve"> </w:t>
      </w:r>
      <w:r>
        <w:rPr>
          <w:rFonts w:ascii="Times New Roman" w:hAnsi="Times New Roman"/>
          <w:b/>
          <w:sz w:val="22"/>
          <w:u w:val="single"/>
        </w:rPr>
        <w:t>TO MASTER NETTING, SETOFF, AND SECURITY AGREEMENT</w:t>
      </w:r>
    </w:p>
    <w:p>
      <w:pPr>
        <w:pStyle w:val="Normal"/>
        <w:tabs>
          <w:tab w:val="clear" w:pos="720"/>
          <w:tab w:val="left" w:pos="0" w:leader="none"/>
        </w:tabs>
        <w:suppressAutoHyphens w:val="true"/>
        <w:bidi w:val="0"/>
        <w:jc w:val="center"/>
        <w:rPr>
          <w:rFonts w:ascii="Times New Roman" w:hAnsi="Times New Roman"/>
          <w:b/>
          <w:sz w:val="22"/>
        </w:rPr>
      </w:pPr>
      <w:r>
        <w:rPr>
          <w:rFonts w:ascii="Times New Roman" w:hAnsi="Times New Roman"/>
          <w:b/>
          <w:sz w:val="22"/>
        </w:rPr>
        <w:t xml:space="preserve">DRAFT OF </w:t>
      </w:r>
      <w:r>
        <w:rPr>
          <w:rFonts w:ascii="Times New Roman" w:hAnsi="Times New Roman"/>
          <w:b/>
          <w:strike/>
          <w:sz w:val="22"/>
        </w:rPr>
        <w:t>{10/09/01}</w:t>
      </w:r>
      <w:r>
        <w:rPr>
          <w:rFonts w:ascii="Times New Roman" w:hAnsi="Times New Roman"/>
          <w:b/>
          <w:sz w:val="22"/>
        </w:rPr>
        <w:t xml:space="preserve"> [10/18/01]</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This Annex A Collateral Annex to Master Netting, Setoff, and Security Agreement (this "</w:t>
      </w:r>
      <w:r>
        <w:rPr>
          <w:rFonts w:ascii="Times New Roman" w:hAnsi="Times New Roman"/>
          <w:sz w:val="22"/>
          <w:u w:val="single"/>
        </w:rPr>
        <w:t>Collateral Annex</w:t>
      </w:r>
      <w:r>
        <w:rPr>
          <w:rFonts w:ascii="Times New Roman" w:hAnsi="Times New Roman"/>
          <w:sz w:val="22"/>
        </w:rPr>
        <w:t>"), supplements, forms a part of, and is subject to, the Master Netting, Setoff, and Security Agreement, dated ________, 200_ (the "</w:t>
      </w:r>
      <w:r>
        <w:rPr>
          <w:rFonts w:ascii="Times New Roman" w:hAnsi="Times New Roman"/>
          <w:sz w:val="22"/>
          <w:u w:val="single"/>
        </w:rPr>
        <w:t>Agreement</w:t>
      </w:r>
      <w:r>
        <w:rPr>
          <w:rFonts w:ascii="Times New Roman" w:hAnsi="Times New Roman"/>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1.</w:t>
        <w:tab/>
      </w:r>
      <w:r>
        <w:rPr>
          <w:rFonts w:ascii="Times New Roman" w:hAnsi="Times New Roman"/>
          <w:sz w:val="22"/>
          <w:u w:val="single"/>
        </w:rPr>
        <w:t>Definitions</w:t>
      </w:r>
      <w:r>
        <w:rPr>
          <w:rFonts w:ascii="Times New Roman" w:hAnsi="Times New Roman"/>
          <w:sz w:val="22"/>
        </w:rPr>
        <w: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For purposes of this Collateral Annex, the following terms have the respective definitions set forth below.    References to Paragraphs are to this Collateral Annex unless otherwise expressly stated.</w:t>
      </w:r>
    </w:p>
    <w:p>
      <w:pPr>
        <w:pStyle w:val="OmniPage2"/>
        <w:bidi w:val="0"/>
        <w:ind w:firstLine="720"/>
        <w:jc w:val="both"/>
        <w:rPr>
          <w:rFonts w:ascii="Times New Roman" w:hAnsi="Times New Roman"/>
          <w:sz w:val="22"/>
        </w:rPr>
      </w:pPr>
      <w:r>
        <w:rPr>
          <w:rFonts w:ascii="Times New Roman" w:hAnsi="Times New Roman"/>
          <w:sz w:val="22"/>
        </w:rPr>
      </w:r>
    </w:p>
    <w:p>
      <w:pPr>
        <w:pStyle w:val="BodyTextFirstIndent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Aggregate Exposure</w:t>
      </w:r>
      <w:r>
        <w:rPr>
          <w:rFonts w:ascii="Times New Roman" w:hAnsi="Times New Roman"/>
          <w:sz w:val="22"/>
        </w:rPr>
        <w:t>" means, on any Calculation Date, the aggregate Exposures of all members of a Group determined pursuant to Paragraph 3 of this Collateral Annex.</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Bankrupt</w:t>
      </w:r>
      <w:r>
        <w:rPr>
          <w:rFonts w:ascii="Times New Roman" w:hAnsi="Times New Roman"/>
          <w:sz w:val="22"/>
        </w:rPr>
        <w:t>"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Calculation Date</w:t>
      </w:r>
      <w:r>
        <w:rPr>
          <w:rFonts w:ascii="Times New Roman" w:hAnsi="Times New Roman"/>
          <w:sz w:val="22"/>
        </w:rPr>
        <w:t>" means any Business Day on which a Party chooses or is requested by any other Party to make the determinations referred to in Paragraphs 3, 4, 5 or 8 of this Collateral Annex.</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Cash</w:t>
      </w:r>
      <w:r>
        <w:rPr>
          <w:rFonts w:ascii="Times New Roman" w:hAnsi="Times New Roman"/>
          <w:sz w:val="22"/>
        </w:rPr>
        <w:t>" means U.S. dollars held by or on behalf of a Group as Performance Assurance hereunder.</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 Account</w:t>
      </w:r>
      <w:r>
        <w:rPr>
          <w:rFonts w:ascii="Times New Roman" w:hAnsi="Times New Roman"/>
          <w:sz w:val="22"/>
        </w:rPr>
        <w:t>" shall have the meaning attributed to it in Paragraph 6(a)(iv)(B).</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 Administrator</w:t>
      </w:r>
      <w:r>
        <w:rPr>
          <w:rFonts w:ascii="Times New Roman" w:hAnsi="Times New Roman"/>
          <w:sz w:val="22"/>
        </w:rPr>
        <w:t xml:space="preserve">" means, with respect to Enron Group, ENA, and with respect to Counterparty Group, </w:t>
      </w:r>
      <w:r>
        <w:rPr>
          <w:rFonts w:ascii="Times New Roman" w:hAnsi="Times New Roman"/>
          <w:b/>
          <w:sz w:val="22"/>
        </w:rPr>
        <w:t>X</w:t>
      </w:r>
      <w:r>
        <w:rPr>
          <w:rFonts w:ascii="Times New Roman" w:hAnsi="Times New Roman"/>
          <w:sz w:val="22"/>
        </w:rPr>
        <w:t>, which Collateral Administrators may be changed from time to time by providing written notice to the other Group.</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 Requirement</w:t>
      </w:r>
      <w:r>
        <w:rPr>
          <w:rFonts w:ascii="Times New Roman" w:hAnsi="Times New Roman"/>
          <w:sz w:val="22"/>
        </w:rPr>
        <w:t>" shall have the meaning attributed to it in Paragraph 3(b).</w:t>
      </w:r>
    </w:p>
    <w:p>
      <w:pPr>
        <w:pStyle w:val="BodyTextIndent2"/>
        <w:bidi w:val="0"/>
        <w:spacing w:before="0" w:after="0"/>
        <w:ind w:firstLine="720" w:start="0"/>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Group's Aggregate Exposure</w:t>
      </w:r>
      <w:r>
        <w:rPr>
          <w:rFonts w:ascii="Times New Roman" w:hAnsi="Times New Roman"/>
          <w:sz w:val="22"/>
        </w:rPr>
        <w:t>" shall have the meaning attributed to it in Paragraph 3(a).</w:t>
      </w:r>
    </w:p>
    <w:p>
      <w:pPr>
        <w:pStyle w:val="BodyTextIndent2"/>
        <w:bidi w:val="0"/>
        <w:spacing w:before="0" w:after="0"/>
        <w:ind w:firstLine="720" w:start="0"/>
        <w:rPr>
          <w:rFonts w:ascii="Times New Roman" w:hAnsi="Times New Roman"/>
          <w:sz w:val="22"/>
        </w:rPr>
      </w:pPr>
      <w:r>
        <w:rPr>
          <w:rFonts w:ascii="Times New Roman" w:hAnsi="Times New Roman"/>
          <w:sz w:val="22"/>
        </w:rPr>
      </w:r>
    </w:p>
    <w:p>
      <w:pPr>
        <w:pStyle w:val="BodyTextIndent2"/>
        <w:bidi w:val="0"/>
        <w:spacing w:before="0" w:after="0"/>
        <w:ind w:firstLine="720" w:start="0"/>
        <w:rPr>
          <w:rFonts w:ascii="Times New Roman" w:hAnsi="Times New Roman"/>
          <w:sz w:val="22"/>
        </w:rPr>
      </w:pPr>
      <w:r>
        <w:rPr>
          <w:rFonts w:ascii="Times New Roman" w:hAnsi="Times New Roman"/>
          <w:sz w:val="22"/>
        </w:rPr>
        <w:t>"</w:t>
      </w:r>
      <w:r>
        <w:rPr>
          <w:rFonts w:ascii="Times New Roman" w:hAnsi="Times New Roman"/>
          <w:sz w:val="22"/>
          <w:u w:val="single"/>
        </w:rPr>
        <w:t>Credit Rating</w:t>
      </w:r>
      <w:r>
        <w:rPr>
          <w:rFonts w:ascii="Times New Roman" w:hAnsi="Times New Roman"/>
          <w:sz w:val="22"/>
        </w:rPr>
        <w:t xml:space="preserve">" means with respect to a Group,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agencies.    </w:t>
      </w:r>
    </w:p>
    <w:p>
      <w:pPr>
        <w:pStyle w:val="BodyTextIndent2"/>
        <w:bidi w:val="0"/>
        <w:spacing w:before="0" w:after="0"/>
        <w:ind w:firstLine="720" w:start="0"/>
        <w:rPr>
          <w:rFonts w:ascii="Times New Roman" w:hAnsi="Times New Roman"/>
          <w:sz w:val="22"/>
          <w:u w:val="single"/>
        </w:rPr>
      </w:pPr>
      <w:r>
        <w:rPr>
          <w:rFonts w:ascii="Times New Roman" w:hAnsi="Times New Roman"/>
          <w:sz w:val="22"/>
          <w:u w:val="single"/>
        </w:rPr>
      </w:r>
    </w:p>
    <w:p>
      <w:pPr>
        <w:pStyle w:val="BodyTextIndent2"/>
        <w:bidi w:val="0"/>
        <w:spacing w:before="0" w:after="0"/>
        <w:ind w:firstLine="720" w:start="0"/>
        <w:rPr>
          <w:rFonts w:ascii="Times New Roman" w:hAnsi="Times New Roman"/>
          <w:sz w:val="22"/>
        </w:rPr>
      </w:pPr>
      <w:r>
        <w:rPr>
          <w:rFonts w:ascii="Times New Roman" w:hAnsi="Times New Roman"/>
          <w:sz w:val="22"/>
        </w:rPr>
        <w:t>"</w:t>
      </w:r>
      <w:r>
        <w:rPr>
          <w:rFonts w:ascii="Times New Roman" w:hAnsi="Times New Roman"/>
          <w:sz w:val="22"/>
          <w:u w:val="single"/>
        </w:rPr>
        <w:t>Credit Rating Event</w:t>
      </w:r>
      <w:r>
        <w:rPr>
          <w:rFonts w:ascii="Times New Roman" w:hAnsi="Times New Roman"/>
          <w:sz w:val="22"/>
        </w:rPr>
        <w:t>" shall have the meaning attributed to it in Paragraph 6(a)(iv)(A).</w:t>
      </w:r>
    </w:p>
    <w:p>
      <w:pPr>
        <w:pStyle w:val="Normal"/>
        <w:bidi w:val="0"/>
        <w:ind w:firstLine="360"/>
        <w:jc w:val="both"/>
        <w:rPr>
          <w:rFonts w:ascii="Times New Roman" w:hAnsi="Times New Roman"/>
          <w:sz w:val="22"/>
        </w:rPr>
      </w:pPr>
      <w:r>
        <w:rPr>
          <w:rFonts w:ascii="Times New Roman" w:hAnsi="Times New Roman"/>
          <w:sz w:val="22"/>
        </w:rPr>
      </w:r>
    </w:p>
    <w:p>
      <w:pPr>
        <w:pStyle w:val="BodyTextIndent2"/>
        <w:bidi w:val="0"/>
        <w:spacing w:before="0" w:after="0"/>
        <w:ind w:firstLine="720" w:start="0"/>
        <w:rPr>
          <w:rFonts w:ascii="Times New Roman" w:hAnsi="Times New Roman"/>
          <w:sz w:val="22"/>
        </w:rPr>
      </w:pPr>
      <w:r>
        <w:rPr>
          <w:rFonts w:ascii="Times New Roman" w:hAnsi="Times New Roman"/>
          <w:sz w:val="22"/>
        </w:rPr>
        <w:t>"</w:t>
      </w:r>
      <w:r>
        <w:rPr>
          <w:rFonts w:ascii="Times New Roman" w:hAnsi="Times New Roman"/>
          <w:sz w:val="22"/>
          <w:u w:val="single"/>
        </w:rPr>
        <w:t>Custodian</w:t>
      </w:r>
      <w:r>
        <w:rPr>
          <w:rFonts w:ascii="Times New Roman" w:hAnsi="Times New Roman"/>
          <w:sz w:val="22"/>
        </w:rPr>
        <w:t>" means the agent for a Group acting with respect to Performance Assurance Transferred to such Group in accordance herewith.</w:t>
      </w:r>
    </w:p>
    <w:p>
      <w:pPr>
        <w:pStyle w:val="BodyTextIndent2"/>
        <w:bidi w:val="0"/>
        <w:spacing w:before="0" w:after="0"/>
        <w:ind w:firstLine="720" w:start="0"/>
        <w:rPr>
          <w:rFonts w:ascii="Times New Roman" w:hAnsi="Times New Roman"/>
          <w:sz w:val="22"/>
        </w:rPr>
      </w:pPr>
      <w:r>
        <w:rPr>
          <w:rFonts w:ascii="Times New Roman" w:hAnsi="Times New Roman"/>
          <w:sz w:val="22"/>
        </w:rPr>
      </w:r>
    </w:p>
    <w:p>
      <w:pPr>
        <w:pStyle w:val="BodyTextIndent2"/>
        <w:bidi w:val="0"/>
        <w:spacing w:before="0" w:after="0"/>
        <w:ind w:firstLine="720" w:start="0"/>
        <w:rPr>
          <w:rFonts w:ascii="Times New Roman" w:hAnsi="Times New Roman"/>
          <w:sz w:val="22"/>
        </w:rPr>
      </w:pPr>
      <w:r>
        <w:rPr>
          <w:rFonts w:ascii="Times New Roman" w:hAnsi="Times New Roman"/>
          <w:sz w:val="22"/>
        </w:rPr>
        <w:t>"</w:t>
      </w:r>
      <w:r>
        <w:rPr>
          <w:rFonts w:ascii="Times New Roman" w:hAnsi="Times New Roman"/>
          <w:sz w:val="22"/>
          <w:u w:val="single"/>
        </w:rPr>
        <w:t>Downgraded Group</w:t>
      </w:r>
      <w:r>
        <w:rPr>
          <w:rFonts w:ascii="Times New Roman" w:hAnsi="Times New Roman"/>
          <w:sz w:val="22"/>
        </w:rPr>
        <w:t>" shall have the meaning attributed to it in Paragraph 6(a)(iv)(A).</w:t>
      </w:r>
    </w:p>
    <w:p>
      <w:pPr>
        <w:pStyle w:val="BodyTextIndent2"/>
        <w:bidi w:val="0"/>
        <w:spacing w:before="0" w:after="0"/>
        <w:ind w:firstLine="720" w:start="0"/>
        <w:rPr>
          <w:rFonts w:ascii="Times New Roman" w:hAnsi="Times New Roman"/>
          <w:sz w:val="22"/>
        </w:rPr>
      </w:pPr>
      <w:r>
        <w:rPr>
          <w:rFonts w:ascii="Times New Roman" w:hAnsi="Times New Roman"/>
          <w:sz w:val="22"/>
        </w:rPr>
      </w:r>
    </w:p>
    <w:p>
      <w:pPr>
        <w:pStyle w:val="BodyTextIndent2"/>
        <w:bidi w:val="0"/>
        <w:spacing w:before="0" w:after="0"/>
        <w:ind w:firstLine="720" w:start="0"/>
        <w:rPr>
          <w:rFonts w:ascii="Times New Roman" w:hAnsi="Times New Roman"/>
          <w:sz w:val="22"/>
        </w:rPr>
      </w:pPr>
      <w:r>
        <w:rPr>
          <w:rFonts w:ascii="Times New Roman" w:hAnsi="Times New Roman"/>
          <w:sz w:val="22"/>
        </w:rPr>
        <w:t>"</w:t>
      </w:r>
      <w:r>
        <w:rPr>
          <w:rFonts w:ascii="Times New Roman" w:hAnsi="Times New Roman"/>
          <w:sz w:val="22"/>
          <w:u w:val="single"/>
        </w:rPr>
        <w:t>Drawing Event</w:t>
      </w:r>
      <w:r>
        <w:rPr>
          <w:rFonts w:ascii="Times New Roman" w:hAnsi="Times New Roman"/>
          <w:sz w:val="22"/>
        </w:rPr>
        <w:t>" means the any of the events set forth in Paragraphs 6(b)(iv) and (v).</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Eligible Collateral</w:t>
      </w:r>
      <w:r>
        <w:rPr>
          <w:rFonts w:ascii="Times New Roman" w:hAnsi="Times New Roman"/>
          <w:sz w:val="22"/>
        </w:rPr>
        <w:t>" means Collateral in the form of Cash or Letter of Credit or as otherwise agreed to in writing by the Parties.</w:t>
      </w:r>
    </w:p>
    <w:p>
      <w:pPr>
        <w:pStyle w:val="Normal"/>
        <w:bidi w:val="0"/>
        <w:ind w:firstLine="36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Enron Group's Aggregate Exposure</w:t>
      </w:r>
      <w:r>
        <w:rPr>
          <w:rFonts w:ascii="Times New Roman" w:hAnsi="Times New Roman"/>
          <w:sz w:val="22"/>
        </w:rPr>
        <w:t>" shall have the meaning attributed to it in Paragraph 3(a).</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Federal Funds Effective Rate</w:t>
      </w:r>
      <w:r>
        <w:rPr>
          <w:rFonts w:ascii="Times New Roman" w:hAnsi="Times New Roman"/>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Interest Amount</w:t>
      </w:r>
      <w:r>
        <w:rPr>
          <w:rFonts w:ascii="Times New Roman" w:hAnsi="Times New Roman"/>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Interest Period</w:t>
      </w:r>
      <w:r>
        <w:rPr>
          <w:rFonts w:ascii="Times New Roman" w:hAnsi="Times New Roman"/>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Interest Rate</w:t>
      </w:r>
      <w:r>
        <w:rPr>
          <w:rFonts w:ascii="Times New Roman" w:hAnsi="Times New Roman"/>
          <w:sz w:val="22"/>
        </w:rPr>
        <w:t xml:space="preserve">" means the Federal Funds Effective Rate as from time to time in effect.    </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Letter of Credit</w:t>
      </w:r>
      <w:r>
        <w:rPr>
          <w:rFonts w:ascii="Times New Roman" w:hAnsi="Times New Roman"/>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rFonts w:ascii="Times New Roman" w:hAnsi="Times New Roman"/>
          <w:sz w:val="22"/>
          <w:u w:val="single"/>
        </w:rPr>
        <w:t>Schedule 1</w:t>
      </w:r>
      <w:r>
        <w:rPr>
          <w:rFonts w:ascii="Times New Roman" w:hAnsi="Times New Roman"/>
          <w:sz w:val="22"/>
        </w:rPr>
        <w:t xml:space="preserve"> attached hereto, with such changes to the terms in that form as the issuing bank may require and as may be acceptable to the beneficiary thereof.</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Letter of Credit Default</w:t>
      </w:r>
      <w:r>
        <w:rPr>
          <w:rFonts w:ascii="Times New Roman" w:hAnsi="Times New Roman"/>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Material Adverse Change</w:t>
      </w:r>
      <w:r>
        <w:rPr>
          <w:rFonts w:ascii="Times New Roman" w:hAnsi="Times New Roman"/>
          <w:sz w:val="22"/>
        </w:rPr>
        <w:t xml:space="preserve">" means </w:t>
      </w:r>
      <w:r>
        <w:rPr>
          <w:rFonts w:ascii="Times New Roman" w:hAnsi="Times New Roman"/>
          <w:b/>
          <w:sz w:val="22"/>
        </w:rPr>
        <w:t>[define for each of Enron Group and Counterparty Group]</w:t>
      </w:r>
      <w:r>
        <w:rPr>
          <w:rFonts w:ascii="Times New Roman" w:hAnsi="Times New Roman"/>
          <w:sz w:val="22"/>
        </w:rPr>
        <w:t>.</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Minimum Transfer Amount</w:t>
      </w:r>
      <w:r>
        <w:rPr>
          <w:rFonts w:ascii="Times New Roman" w:hAnsi="Times New Roman"/>
          <w:sz w:val="22"/>
        </w:rPr>
        <w:t xml:space="preserve">" means, with respect to Enron Group, $_________, and with respect to Counterparty Group, $____________.    </w:t>
      </w:r>
    </w:p>
    <w:p>
      <w:pPr>
        <w:pStyle w:val="Normal"/>
        <w:bidi w:val="0"/>
        <w:ind w:firstLine="720"/>
        <w:jc w:val="both"/>
        <w:rPr>
          <w:rFonts w:ascii="Times New Roman" w:hAnsi="Times New Roman"/>
          <w:sz w:val="22"/>
          <w:u w:val="single"/>
        </w:rPr>
      </w:pPr>
      <w:r>
        <w:rPr>
          <w:rFonts w:ascii="Times New Roman" w:hAnsi="Times New Roman"/>
          <w:sz w:val="22"/>
          <w:u w:val="single"/>
        </w:rPr>
      </w:r>
    </w:p>
    <w:p>
      <w:pPr>
        <w:pStyle w:val="Normal"/>
        <w:bidi w:val="0"/>
        <w:ind w:hanging="0" w:start="720"/>
        <w:jc w:val="both"/>
        <w:rPr>
          <w:rFonts w:ascii="Times New Roman" w:hAnsi="Times New Roman"/>
          <w:sz w:val="22"/>
        </w:rPr>
      </w:pPr>
      <w:r>
        <w:rPr>
          <w:rFonts w:ascii="Times New Roman" w:hAnsi="Times New Roman"/>
          <w:sz w:val="22"/>
        </w:rPr>
        <w:t>"</w:t>
      </w:r>
      <w:r>
        <w:rPr>
          <w:rFonts w:ascii="Times New Roman" w:hAnsi="Times New Roman"/>
          <w:sz w:val="22"/>
          <w:u w:val="single"/>
        </w:rPr>
        <w:t>Moody's</w:t>
      </w:r>
      <w:r>
        <w:rPr>
          <w:rFonts w:ascii="Times New Roman" w:hAnsi="Times New Roman"/>
          <w:sz w:val="22"/>
        </w:rPr>
        <w:t xml:space="preserve"> means Moody’s Investors Service, Inc. or its successor.</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Net Exposure</w:t>
      </w:r>
      <w:r>
        <w:rPr>
          <w:rFonts w:ascii="Times New Roman" w:hAnsi="Times New Roman"/>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jc w:val="both"/>
        <w:rPr>
          <w:rFonts w:ascii="Times New Roman" w:hAnsi="Times New Roman"/>
          <w:sz w:val="22"/>
        </w:rPr>
      </w:pPr>
      <w:r>
        <w:rPr>
          <w:rFonts w:ascii="Times New Roman" w:hAnsi="Times New Roman"/>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jc w:val="both"/>
        <w:rPr>
          <w:rFonts w:ascii="Times New Roman" w:hAnsi="Times New Roman"/>
          <w:sz w:val="22"/>
        </w:rPr>
      </w:pPr>
      <w:r>
        <w:rPr>
          <w:rFonts w:ascii="Times New Roman" w:hAnsi="Times New Roman"/>
          <w:sz w:val="22"/>
        </w:rPr>
        <w:tab/>
        <w:t>"</w:t>
      </w:r>
      <w:r>
        <w:rPr>
          <w:rFonts w:ascii="Times New Roman" w:hAnsi="Times New Roman"/>
          <w:sz w:val="22"/>
          <w:u w:val="single"/>
        </w:rPr>
        <w:t>Notification Time</w:t>
      </w:r>
      <w:r>
        <w:rPr>
          <w:rFonts w:ascii="Times New Roman" w:hAnsi="Times New Roman"/>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ind w:firstLine="720"/>
        <w:jc w:val="both"/>
        <w:rPr>
          <w:rFonts w:ascii="Times New Roman" w:hAnsi="Times New Roman"/>
          <w:sz w:val="22"/>
        </w:rPr>
      </w:pPr>
      <w:r>
        <w:rPr>
          <w:rFonts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Performance Assurance</w:t>
      </w:r>
      <w:r>
        <w:rPr>
          <w:rFonts w:ascii="Times New Roman" w:hAnsi="Times New Roman"/>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Pledging Group</w:t>
      </w:r>
      <w:r>
        <w:rPr>
          <w:rFonts w:ascii="Times New Roman" w:hAnsi="Times New Roman"/>
          <w:sz w:val="22"/>
        </w:rPr>
        <w:t>" shall have the meaning attributed to it in Paragraph 3(a).</w:t>
      </w:r>
    </w:p>
    <w:p>
      <w:pPr>
        <w:pStyle w:val="PASSParawIndent"/>
        <w:bidi w:val="0"/>
        <w:rPr>
          <w:rFonts w:ascii="Times New Roman" w:hAnsi="Times New Roman"/>
          <w:sz w:val="22"/>
        </w:rPr>
      </w:pPr>
      <w:r>
        <w:rPr>
          <w:rFonts w:ascii="Times New Roman" w:hAnsi="Times New Roman"/>
          <w:sz w:val="22"/>
        </w:rPr>
        <w:t>"</w:t>
      </w:r>
      <w:r>
        <w:rPr>
          <w:rFonts w:ascii="Times New Roman" w:hAnsi="Times New Roman"/>
          <w:sz w:val="22"/>
          <w:u w:val="single"/>
        </w:rPr>
        <w:t>Qualified Institution</w:t>
      </w:r>
      <w:r>
        <w:rPr>
          <w:rFonts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ascii="Times New Roman" w:hAnsi="Times New Roman"/>
          <w:sz w:val="22"/>
        </w:rPr>
        <w:t xml:space="preserve"> and having a capital and surplus of at least $1,000,000,000.</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Reference Market-maker</w:t>
      </w:r>
      <w:r>
        <w:rPr>
          <w:rFonts w:ascii="Times New Roman" w:hAnsi="Times New Roman"/>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Rounding Amount</w:t>
      </w:r>
      <w:r>
        <w:rPr>
          <w:rFonts w:ascii="Times New Roman" w:hAnsi="Times New Roman"/>
          <w:sz w:val="22"/>
        </w:rPr>
        <w:t>" means, with respect to Enron Group, $_________, and with respect to Counterparty Group, $____________.</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S&amp;P</w:t>
      </w:r>
      <w:r>
        <w:rPr>
          <w:rFonts w:ascii="Times New Roman" w:hAnsi="Times New Roman"/>
          <w:sz w:val="22"/>
        </w:rPr>
        <w:t>" means the Standard &amp; Poor's Rating Group (a division of McGraw-Hill, Inc.) or its successor.</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Secured Group</w:t>
      </w:r>
      <w:r>
        <w:rPr>
          <w:rFonts w:ascii="Times New Roman" w:hAnsi="Times New Roman"/>
          <w:sz w:val="22"/>
        </w:rPr>
        <w:t>" shall have the meaning attributed to it in Paragraph 3(a).</w:t>
      </w:r>
    </w:p>
    <w:p>
      <w:pPr>
        <w:pStyle w:val="Normal"/>
        <w:bidi w:val="0"/>
        <w:spacing w:before="240" w:after="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Transfer</w:t>
      </w:r>
      <w:r>
        <w:rPr>
          <w:rFonts w:ascii="Times New Roman" w:hAnsi="Times New Roman"/>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bidi w:val="0"/>
        <w:ind w:hanging="0" w:start="360"/>
        <w:jc w:val="both"/>
        <w:rPr>
          <w:rFonts w:ascii="Times New Roman" w:hAnsi="Times New Roman"/>
          <w:sz w:val="22"/>
        </w:rPr>
      </w:pPr>
      <w:r>
        <w:rPr>
          <w:rFonts w:ascii="Times New Roman" w:hAnsi="Times New Roman"/>
          <w:sz w:val="22"/>
        </w:rPr>
        <w:tab/>
      </w:r>
    </w:p>
    <w:p>
      <w:pPr>
        <w:pStyle w:val="Normal"/>
        <w:tabs>
          <w:tab w:val="clear" w:pos="720"/>
          <w:tab w:val="left" w:pos="0" w:leader="none"/>
        </w:tabs>
        <w:suppressAutoHyphens w:val="true"/>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Valuation Percentage</w:t>
      </w:r>
      <w:r>
        <w:rPr>
          <w:rFonts w:ascii="Times New Roman" w:hAnsi="Times New Roman"/>
          <w:sz w:val="22"/>
        </w:rPr>
        <w:t>" means, with respect to Cash, 100% and with respect to Letters of Credit, 100%</w:t>
      </w:r>
      <w:r>
        <w:rPr>
          <w:rFonts w:ascii="Arial Narrow" w:hAnsi="Arial Narrow"/>
          <w:sz w:val="22"/>
        </w:rPr>
        <w:t xml:space="preserve"> </w:t>
      </w:r>
      <w:r>
        <w:rPr>
          <w:rFonts w:ascii="Times New Roman" w:hAnsi="Times New Roman"/>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rFonts w:ascii="Times New Roman" w:hAnsi="Times New Roman"/>
          <w:color w:val="000000"/>
          <w:sz w:val="22"/>
        </w:rPr>
        <w:tab/>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w:t>
      </w:r>
      <w:r>
        <w:rPr>
          <w:rFonts w:ascii="Times New Roman" w:hAnsi="Times New Roman"/>
          <w:sz w:val="22"/>
          <w:u w:val="single"/>
        </w:rPr>
        <w:t>Value</w:t>
      </w:r>
      <w:r>
        <w:rPr>
          <w:rFonts w:ascii="Times New Roman" w:hAnsi="Times New Roman"/>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2.</w:t>
        <w:tab/>
      </w:r>
      <w:r>
        <w:rPr>
          <w:rFonts w:ascii="Times New Roman" w:hAnsi="Times New Roman"/>
          <w:sz w:val="22"/>
          <w:u w:val="single"/>
        </w:rPr>
        <w:t>Grant of Security Interest</w:t>
      </w:r>
      <w:r>
        <w:rPr>
          <w:rFonts w:ascii="Times New Roman" w:hAnsi="Times New Roman"/>
          <w:sz w:val="22"/>
        </w:rPr>
        <w:t xml:space="preserve">. 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As security for the prompt and complete payment and performance of all Obligations </w:t>
      </w:r>
      <w:r>
        <w:rPr>
          <w:rFonts w:ascii="Times New Roman" w:hAnsi="Times New Roman"/>
          <w:b/>
          <w:sz w:val="22"/>
        </w:rPr>
        <w:t>[of Pledging Group]</w:t>
      </w:r>
      <w:r>
        <w:rPr>
          <w:rFonts w:ascii="Times New Roman" w:hAnsi="Times New Roman"/>
          <w:sz w:val="22"/>
        </w:rPr>
        <w:t xml:space="preserve">,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w:t>
      </w:r>
      <w:r>
        <w:rPr>
          <w:rFonts w:ascii="Times New Roman" w:hAnsi="Times New Roman"/>
          <w:b/>
          <w:sz w:val="22"/>
        </w:rPr>
        <w:t>[(a)]</w:t>
      </w:r>
      <w:r>
        <w:rPr>
          <w:rFonts w:ascii="Times New Roman" w:hAnsi="Times New Roman"/>
          <w:sz w:val="22"/>
        </w:rPr>
        <w:t xml:space="preserve">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w:t>
      </w:r>
      <w:r>
        <w:rPr>
          <w:rFonts w:ascii="Times New Roman" w:hAnsi="Times New Roman"/>
          <w:strike/>
          <w:sz w:val="22"/>
        </w:rPr>
        <w:t>{each}</w:t>
      </w:r>
      <w:r>
        <w:rPr>
          <w:rFonts w:ascii="Times New Roman" w:hAnsi="Times New Roman"/>
          <w:b/>
          <w:sz w:val="22"/>
        </w:rPr>
        <w:t>[(b) all right, title, and interest any member of Pledging Group has in any Obligations of any member of Secured Group to any member of Pledging Group.    Each]</w:t>
      </w:r>
      <w:r>
        <w:rPr>
          <w:rFonts w:ascii="Times New Roman" w:hAnsi="Times New Roman"/>
          <w:sz w:val="22"/>
        </w:rPr>
        <w:t xml:space="preserve"> member of Pledging Group agrees to take such action as Secured Group reasonably requests in order to perfect Secured Group's and its members' continuing security interest in, lien on, and right of setoff against such Performance Assurance </w:t>
      </w:r>
      <w:r>
        <w:rPr>
          <w:rFonts w:ascii="Times New Roman" w:hAnsi="Times New Roman"/>
          <w:b/>
          <w:sz w:val="22"/>
        </w:rPr>
        <w:t>[and grants authority to Secured Group's Collateral Administrator to file financing statements or take such other actions necessary to perfect the foregoing interests]</w:t>
      </w:r>
      <w:r>
        <w:rPr>
          <w:rFonts w:ascii="Times New Roman" w:hAnsi="Times New Roman"/>
          <w:sz w:val="22"/>
        </w:rPr>
        <w:t>.</w:t>
      </w:r>
    </w:p>
    <w:p>
      <w:pPr>
        <w:pStyle w:val="BodyText"/>
        <w:bidi w:val="0"/>
        <w:rPr/>
      </w:pPr>
      <w:r>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3.</w:t>
        <w:tab/>
      </w:r>
      <w:r>
        <w:rPr>
          <w:rFonts w:ascii="Times New Roman" w:hAnsi="Times New Roman"/>
          <w:sz w:val="22"/>
          <w:u w:val="single"/>
        </w:rPr>
        <w:t>Calculations of the Collateral Requirement</w:t>
      </w:r>
      <w:r>
        <w:rPr>
          <w:rFonts w:ascii="Times New Roman" w:hAnsi="Times New Roman"/>
          <w:sz w:val="22"/>
        </w:rPr>
        <w:t xml:space="preserve">. </w:t>
      </w:r>
    </w:p>
    <w:p>
      <w:pPr>
        <w:pStyle w:val="Normal"/>
        <w:bidi w:val="0"/>
        <w:spacing w:before="240" w:after="0"/>
        <w:ind w:firstLine="720"/>
        <w:jc w:val="both"/>
        <w:rPr>
          <w:rFonts w:ascii="Times New Roman" w:hAnsi="Times New Roman"/>
          <w:sz w:val="22"/>
        </w:rPr>
      </w:pPr>
      <w:r>
        <w:rPr>
          <w:rFonts w:ascii="Times New Roman" w:hAnsi="Times New Roman"/>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rFonts w:ascii="Times New Roman" w:hAnsi="Times New Roman"/>
          <w:sz w:val="22"/>
          <w:u w:val="single"/>
        </w:rPr>
        <w:t>Enron Group's Aggregate Exposure</w:t>
      </w:r>
      <w:r>
        <w:rPr>
          <w:rFonts w:ascii="Times New Roman" w:hAnsi="Times New Roman"/>
          <w:sz w:val="22"/>
        </w:rPr>
        <w:t>" to Counterparty Group.    The Exposures of each Counterparty Party to each Enron Party under each Underlying Master Agreement shall be aggregated to determine the "</w:t>
      </w:r>
      <w:r>
        <w:rPr>
          <w:rFonts w:ascii="Times New Roman" w:hAnsi="Times New Roman"/>
          <w:sz w:val="22"/>
          <w:u w:val="single"/>
        </w:rPr>
        <w:t>Counterparty Group's Aggregate Exposure</w:t>
      </w:r>
      <w:r>
        <w:rPr>
          <w:rFonts w:ascii="Times New Roman" w:hAnsi="Times New Roman"/>
          <w:sz w:val="22"/>
        </w:rPr>
        <w:t>" to Enron Group</w:t>
      </w:r>
      <w:bookmarkStart w:id="0" w:name="_Ref523572816"/>
      <w:r>
        <w:rPr>
          <w:rFonts w:ascii="Times New Roman" w:hAnsi="Times New Roman"/>
          <w:sz w:val="22"/>
        </w:rPr>
        <w:t>.</w:t>
      </w:r>
      <w:bookmarkEnd w:id="0"/>
      <w:r>
        <w:rPr>
          <w:rFonts w:ascii="Times New Roman" w:hAnsi="Times New Roman"/>
          <w:sz w:val="22"/>
        </w:rPr>
        <w:t>    The Group having the greater Aggregate Exposure at any time ("</w:t>
      </w:r>
      <w:r>
        <w:rPr>
          <w:rFonts w:ascii="Times New Roman" w:hAnsi="Times New Roman"/>
          <w:sz w:val="22"/>
          <w:u w:val="single"/>
        </w:rPr>
        <w:t>Secured Group</w:t>
      </w:r>
      <w:r>
        <w:rPr>
          <w:rFonts w:ascii="Times New Roman" w:hAnsi="Times New Roman"/>
          <w:sz w:val="22"/>
        </w:rPr>
        <w:t>") shall be deemed to have a "</w:t>
      </w:r>
      <w:r>
        <w:rPr>
          <w:rFonts w:ascii="Times New Roman" w:hAnsi="Times New Roman"/>
          <w:sz w:val="22"/>
          <w:u w:val="single"/>
        </w:rPr>
        <w:t>Net Exposure</w:t>
      </w:r>
      <w:r>
        <w:rPr>
          <w:rFonts w:ascii="Times New Roman" w:hAnsi="Times New Roman"/>
          <w:sz w:val="22"/>
        </w:rPr>
        <w:t>" to the other Group ("</w:t>
      </w:r>
      <w:r>
        <w:rPr>
          <w:rFonts w:ascii="Times New Roman" w:hAnsi="Times New Roman"/>
          <w:sz w:val="22"/>
          <w:u w:val="single"/>
        </w:rPr>
        <w:t>Pledging Group</w:t>
      </w:r>
      <w:r>
        <w:rPr>
          <w:rFonts w:ascii="Times New Roman" w:hAnsi="Times New Roman"/>
          <w:sz w:val="22"/>
        </w:rPr>
        <w:t>") equal to the difference between Secured Group's Aggregate Exposure and Pledging Group's Aggregate Exposure.</w:t>
      </w:r>
    </w:p>
    <w:p>
      <w:pPr>
        <w:pStyle w:val="Normal"/>
        <w:bidi w:val="0"/>
        <w:spacing w:before="240" w:after="0"/>
        <w:ind w:firstLine="720"/>
        <w:jc w:val="both"/>
        <w:rPr>
          <w:rFonts w:ascii="Times New Roman" w:hAnsi="Times New Roman"/>
          <w:sz w:val="22"/>
        </w:rPr>
      </w:pPr>
      <w:r>
        <w:rPr>
          <w:rFonts w:ascii="Times New Roman" w:hAnsi="Times New Roman"/>
          <w:sz w:val="22"/>
        </w:rPr>
        <w:t>(b) The "</w:t>
      </w:r>
      <w:r>
        <w:rPr>
          <w:rFonts w:ascii="Times New Roman" w:hAnsi="Times New Roman"/>
          <w:sz w:val="22"/>
          <w:u w:val="single"/>
        </w:rPr>
        <w:t>Collateral Requirement</w:t>
      </w:r>
      <w:r>
        <w:rPr>
          <w:rFonts w:ascii="Times New Roman" w:hAnsi="Times New Roman"/>
          <w:sz w:val="22"/>
        </w:rPr>
        <w:t>" for Pledging Group means the determination by Secured Group of (i) subject to Paragraph 3(c), Secured Group's Net Exposure minus (ii) the sum of:</w:t>
      </w:r>
    </w:p>
    <w:p>
      <w:pPr>
        <w:pStyle w:val="Normal"/>
        <w:tabs>
          <w:tab w:val="clear" w:pos="720"/>
          <w:tab w:val="left" w:pos="2160" w:leader="none"/>
        </w:tabs>
        <w:bidi w:val="0"/>
        <w:spacing w:before="240" w:after="0"/>
        <w:ind w:hanging="0" w:start="720"/>
        <w:jc w:val="both"/>
        <w:rPr>
          <w:rFonts w:ascii="Times New Roman" w:hAnsi="Times New Roman"/>
          <w:sz w:val="22"/>
        </w:rPr>
      </w:pPr>
      <w:r>
        <w:rPr>
          <w:rFonts w:ascii="Times New Roman" w:hAnsi="Times New Roman"/>
          <w:sz w:val="22"/>
        </w:rPr>
        <w:t>(A) Pledging Group's Exposure Threshold; plus</w:t>
      </w:r>
    </w:p>
    <w:p>
      <w:pPr>
        <w:pStyle w:val="Normal"/>
        <w:tabs>
          <w:tab w:val="clear" w:pos="720"/>
          <w:tab w:val="left" w:pos="2160" w:leader="none"/>
        </w:tabs>
        <w:bidi w:val="0"/>
        <w:spacing w:before="240" w:after="0"/>
        <w:ind w:hanging="0" w:start="720"/>
        <w:jc w:val="both"/>
        <w:rPr>
          <w:rFonts w:ascii="Times New Roman" w:hAnsi="Times New Roman"/>
          <w:sz w:val="22"/>
        </w:rPr>
      </w:pPr>
      <w:r>
        <w:rPr>
          <w:rFonts w:ascii="Times New Roman" w:hAnsi="Times New Roman"/>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bidi w:val="0"/>
        <w:spacing w:before="240" w:after="0"/>
        <w:ind w:hanging="0" w:start="720"/>
        <w:jc w:val="both"/>
        <w:rPr>
          <w:rFonts w:ascii="Times New Roman" w:hAnsi="Times New Roman"/>
          <w:sz w:val="22"/>
        </w:rPr>
      </w:pPr>
      <w:r>
        <w:rPr>
          <w:rFonts w:ascii="Times New Roman" w:hAnsi="Times New Roman"/>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bidi w:val="0"/>
        <w:spacing w:before="240" w:after="0"/>
        <w:ind w:firstLine="720"/>
        <w:jc w:val="both"/>
        <w:rPr>
          <w:rFonts w:ascii="Times New Roman" w:hAnsi="Times New Roman"/>
          <w:b/>
          <w:color w:val="000000"/>
          <w:sz w:val="22"/>
        </w:rPr>
      </w:pPr>
      <w:r>
        <w:rPr>
          <w:rFonts w:ascii="Times New Roman" w:hAnsi="Times New Roman"/>
          <w:sz w:val="22"/>
        </w:rPr>
        <w:t>(c)</w:t>
      </w:r>
      <w:r>
        <w:rPr>
          <w:rFonts w:ascii="Times New Roman" w:hAnsi="Times New Roman"/>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r>
        <w:br w:type="page"/>
      </w:r>
    </w:p>
    <w:p>
      <w:pPr>
        <w:pStyle w:val="Normal"/>
        <w:tabs>
          <w:tab w:val="clear" w:pos="720"/>
          <w:tab w:val="left" w:pos="0" w:leader="none"/>
        </w:tabs>
        <w:suppressAutoHyphens w:val="true"/>
        <w:bidi w:val="0"/>
        <w:jc w:val="both"/>
        <w:rPr>
          <w:rFonts w:ascii="Times New Roman" w:hAnsi="Times New Roman"/>
          <w:b/>
          <w:sz w:val="22"/>
        </w:rPr>
      </w:pPr>
      <w:r>
        <w:rPr>
          <w:rFonts w:ascii="Times New Roman" w:hAnsi="Times New Roman"/>
          <w:b/>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4.</w:t>
        <w:tab/>
      </w:r>
      <w:r>
        <w:rPr>
          <w:rFonts w:ascii="Times New Roman" w:hAnsi="Times New Roman"/>
          <w:sz w:val="22"/>
          <w:u w:val="single"/>
        </w:rPr>
        <w:t>Delivery of Performance Assurance</w:t>
      </w:r>
      <w:r>
        <w:rPr>
          <w:rFonts w:ascii="Times New Roman" w:hAnsi="Times New Roman"/>
          <w:sz w:val="22"/>
        </w:rPr>
        <w:t>.</w:t>
        <w:tab/>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b/>
          <w:sz w:val="22"/>
        </w:rPr>
      </w:pPr>
      <w:r>
        <w:rPr>
          <w:rFonts w:ascii="Times New Roman" w:hAnsi="Times New Roman"/>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rFonts w:ascii="Times New Roman" w:hAnsi="Times New Roman"/>
          <w:b/>
          <w:sz w:val="22"/>
        </w:rPr>
        <w:t xml:space="preserve">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5.</w:t>
        <w:tab/>
      </w:r>
      <w:r>
        <w:rPr>
          <w:rFonts w:ascii="Times New Roman" w:hAnsi="Times New Roman"/>
          <w:sz w:val="22"/>
          <w:u w:val="single"/>
        </w:rPr>
        <w:t>Reduction and Substitution of    Performance Assurance</w:t>
      </w:r>
      <w:r>
        <w:rPr>
          <w:rFonts w:ascii="Times New Roman" w:hAnsi="Times New Roman"/>
          <w:sz w:val="22"/>
        </w:rPr>
        <w: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Group.    Unless otherwise agreed in writing by the Parties, if Pledging Group's reduction demand is made on or before the Notification Time on a Business Day, then 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bidi w:val="0"/>
        <w:rPr>
          <w:rFonts w:ascii="Times New Roman" w:hAnsi="Times New Roman"/>
          <w:sz w:val="22"/>
        </w:rPr>
      </w:pPr>
      <w:r>
        <w:rPr>
          <w:rFonts w:ascii="Times New Roman" w:hAnsi="Times New Roman"/>
          <w:sz w:val="22"/>
        </w:rPr>
        <w:tab/>
      </w:r>
    </w:p>
    <w:p>
      <w:pPr>
        <w:pStyle w:val="BodyText3"/>
        <w:bidi w:val="0"/>
        <w:rPr>
          <w:rFonts w:ascii="Times New Roman" w:hAnsi="Times New Roman"/>
          <w:b/>
          <w:sz w:val="22"/>
        </w:rPr>
      </w:pPr>
      <w:r>
        <w:rPr>
          <w:rFonts w:ascii="Times New Roman" w:hAnsi="Times New Roman"/>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rFonts w:ascii="Times New Roman" w:hAnsi="Times New Roman"/>
          <w:b/>
          <w:sz w:val="22"/>
        </w:rPr>
        <w:t xml:space="preserve"> </w:t>
      </w:r>
      <w:r>
        <w:rPr>
          <w:rFonts w:ascii="Times New Roman" w:hAnsi="Times New Roman"/>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bidi w:val="0"/>
        <w:jc w:val="both"/>
        <w:rPr>
          <w:rFonts w:ascii="Times New Roman" w:hAnsi="Times New Roman"/>
          <w:b/>
          <w:sz w:val="22"/>
        </w:rPr>
      </w:pPr>
      <w:r>
        <w:rPr>
          <w:rFonts w:ascii="Times New Roman" w:hAnsi="Times New Roman"/>
          <w:b/>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6.</w:t>
        <w:tab/>
      </w:r>
      <w:r>
        <w:rPr>
          <w:rFonts w:ascii="Times New Roman" w:hAnsi="Times New Roman"/>
          <w:sz w:val="22"/>
          <w:u w:val="single"/>
        </w:rPr>
        <w:t>Administration of Performance Assurance</w:t>
      </w:r>
      <w:r>
        <w:rPr>
          <w:rFonts w:ascii="Times New Roman" w:hAnsi="Times New Roman"/>
          <w:sz w:val="22"/>
        </w:rPr>
        <w:t>.</w:t>
      </w:r>
    </w:p>
    <w:p>
      <w:pPr>
        <w:pStyle w:val="Normal"/>
        <w:bidi w:val="0"/>
        <w:spacing w:before="240" w:after="0"/>
        <w:ind w:firstLine="720"/>
        <w:jc w:val="both"/>
        <w:rPr>
          <w:rFonts w:ascii="Times New Roman" w:hAnsi="Times New Roman"/>
          <w:sz w:val="22"/>
        </w:rPr>
      </w:pPr>
      <w:r>
        <w:rPr>
          <w:rFonts w:ascii="Times New Roman" w:hAnsi="Times New Roman"/>
          <w:sz w:val="22"/>
        </w:rPr>
        <w:t xml:space="preserve">(a) </w:t>
      </w:r>
      <w:r>
        <w:rPr>
          <w:rFonts w:ascii="Times New Roman" w:hAnsi="Times New Roman"/>
          <w:sz w:val="22"/>
          <w:u w:val="single"/>
        </w:rPr>
        <w:t>Cash</w:t>
      </w:r>
      <w:r>
        <w:rPr>
          <w:rFonts w:ascii="Times New Roman" w:hAnsi="Times New Roman"/>
          <w:sz w:val="22"/>
        </w:rPr>
        <w:t xml:space="preserve">.    Performance Assurance provided in the form of Cash to Secured Group shall be subject to the following provisions.    </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(i) Enron Group and its Custodian will be entitled to hold Cash pursuant hereto provided the following conditions applicable to it are satisfied.</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(A) Enron Group is not in Default and a Material Adverse Change has not occurred with respect to Enron Group.</w:t>
      </w:r>
    </w:p>
    <w:p>
      <w:pPr>
        <w:pStyle w:val="Normal"/>
        <w:bidi w:val="0"/>
        <w:ind w:hanging="0" w:start="720"/>
        <w:jc w:val="both"/>
        <w:rPr>
          <w:rFonts w:ascii="Times New Roman" w:hAnsi="Times New Roman"/>
          <w:sz w:val="22"/>
        </w:rPr>
      </w:pPr>
      <w:r>
        <w:rPr>
          <w:rFonts w:ascii="Times New Roman" w:hAnsi="Times New Roman"/>
          <w:sz w:val="22"/>
        </w:rPr>
      </w:r>
    </w:p>
    <w:p>
      <w:pPr>
        <w:pStyle w:val="BodyTextIndent"/>
        <w:bidi w:val="0"/>
        <w:ind w:hanging="0" w:start="720"/>
        <w:jc w:val="both"/>
        <w:rPr>
          <w:rFonts w:ascii="Times New Roman" w:hAnsi="Times New Roman"/>
          <w:sz w:val="22"/>
        </w:rPr>
      </w:pPr>
      <w:r>
        <w:rPr>
          <w:rFonts w:ascii="Times New Roman" w:hAnsi="Times New Roman"/>
          <w:sz w:val="22"/>
        </w:rPr>
        <w:t>(B) Cash may be held only in the following jurisdictions:    Any jurisdiction within the United States.</w:t>
      </w:r>
    </w:p>
    <w:p>
      <w:pPr>
        <w:pStyle w:val="BodyTextIndent"/>
        <w:bidi w:val="0"/>
        <w:ind w:hanging="0" w:start="720"/>
        <w:jc w:val="both"/>
        <w:rPr>
          <w:rFonts w:ascii="Times New Roman" w:hAnsi="Times New Roman"/>
          <w:sz w:val="22"/>
        </w:rPr>
      </w:pPr>
      <w:r>
        <w:rPr>
          <w:rFonts w:ascii="Times New Roman" w:hAnsi="Times New Roman"/>
          <w:sz w:val="22"/>
        </w:rPr>
        <w:t>(C) The Custodian is a Qualified Institution approved by Counterparty Group (which approval shall not be unreasonably withheld).</w:t>
      </w:r>
      <w:r>
        <w:rPr>
          <w:rFonts w:ascii="Times New Roman" w:hAnsi="Times New Roman"/>
          <w:color w:val="0000FF"/>
          <w:sz w:val="22"/>
        </w:rPr>
        <w:t xml:space="preserve"> </w:t>
      </w:r>
      <w:r>
        <w:rPr>
          <w:rFonts w:ascii="Times New Roman" w:hAnsi="Times New Roman"/>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bidi w:val="0"/>
        <w:ind w:firstLine="720"/>
        <w:jc w:val="both"/>
        <w:rPr>
          <w:rFonts w:ascii="Times New Roman" w:hAnsi="Times New Roman"/>
          <w:sz w:val="22"/>
        </w:rPr>
      </w:pPr>
      <w:r>
        <w:rPr>
          <w:rFonts w:ascii="Times New Roman" w:hAnsi="Times New Roman"/>
          <w:sz w:val="22"/>
        </w:rPr>
        <w:t>(ii) Counterparty Group and its Custodian will be entitled to hold Cash pursuant hereto provided the following conditions applicable to it are satisfied.</w:t>
      </w:r>
    </w:p>
    <w:p>
      <w:pPr>
        <w:pStyle w:val="Normal"/>
        <w:bidi w:val="0"/>
        <w:ind w:hanging="0" w:start="90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(A) Counterparty Group is not in Default and a Material Adverse Change has not occurred with respect to Counterparty Group.</w:t>
      </w:r>
    </w:p>
    <w:p>
      <w:pPr>
        <w:pStyle w:val="Normal"/>
        <w:bidi w:val="0"/>
        <w:ind w:hanging="0" w:start="720"/>
        <w:jc w:val="both"/>
        <w:rPr>
          <w:rFonts w:ascii="Times New Roman" w:hAnsi="Times New Roman"/>
          <w:sz w:val="22"/>
        </w:rPr>
      </w:pPr>
      <w:r>
        <w:rPr>
          <w:rFonts w:ascii="Times New Roman" w:hAnsi="Times New Roman"/>
          <w:sz w:val="22"/>
        </w:rPr>
      </w:r>
    </w:p>
    <w:p>
      <w:pPr>
        <w:pStyle w:val="BodyTextIndent"/>
        <w:bidi w:val="0"/>
        <w:ind w:hanging="0" w:start="720"/>
        <w:jc w:val="both"/>
        <w:rPr>
          <w:rFonts w:ascii="Times New Roman" w:hAnsi="Times New Roman"/>
          <w:sz w:val="22"/>
        </w:rPr>
      </w:pPr>
      <w:r>
        <w:rPr>
          <w:rFonts w:ascii="Times New Roman" w:hAnsi="Times New Roman"/>
          <w:sz w:val="22"/>
        </w:rPr>
        <w:t>(B) Cash may be held only in the following jurisdictions:    Any jurisdiction within the United States.</w:t>
      </w:r>
    </w:p>
    <w:p>
      <w:pPr>
        <w:pStyle w:val="BodyTextIndent"/>
        <w:bidi w:val="0"/>
        <w:ind w:hanging="0" w:start="720"/>
        <w:jc w:val="both"/>
        <w:rPr>
          <w:rFonts w:ascii="Times New Roman" w:hAnsi="Times New Roman"/>
          <w:sz w:val="22"/>
        </w:rPr>
      </w:pPr>
      <w:r>
        <w:rPr>
          <w:rFonts w:ascii="Times New Roman" w:hAnsi="Times New Roman"/>
          <w:sz w:val="22"/>
        </w:rPr>
        <w:t>(C) The Custodian is a Qualified Institution approved by Enron Group (which approval shall not be unreasonably withheld).</w:t>
      </w:r>
      <w:r>
        <w:rPr>
          <w:rFonts w:ascii="Times New Roman" w:hAnsi="Times New Roman"/>
          <w:color w:val="0000FF"/>
          <w:sz w:val="22"/>
        </w:rPr>
        <w:t xml:space="preserve"> </w:t>
      </w:r>
      <w:r>
        <w:rPr>
          <w:rFonts w:ascii="Times New Roman" w:hAnsi="Times New Roman"/>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bidi w:val="0"/>
        <w:spacing w:before="240" w:after="0"/>
        <w:ind w:firstLine="720"/>
        <w:jc w:val="both"/>
        <w:rPr>
          <w:rFonts w:ascii="Times New Roman" w:hAnsi="Times New Roman"/>
          <w:b/>
          <w:sz w:val="22"/>
        </w:rPr>
      </w:pPr>
      <w:r>
        <w:rPr>
          <w:rFonts w:ascii="Times New Roman" w:hAnsi="Times New Roman"/>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bidi w:val="0"/>
        <w:spacing w:before="240" w:after="0"/>
        <w:ind w:firstLine="720"/>
        <w:jc w:val="both"/>
        <w:rPr>
          <w:rFonts w:ascii="Times New Roman" w:hAnsi="Times New Roman"/>
          <w:sz w:val="22"/>
        </w:rPr>
      </w:pPr>
      <w:r>
        <w:rPr>
          <w:rFonts w:ascii="Times New Roman" w:hAnsi="Times New Roman"/>
          <w:sz w:val="22"/>
        </w:rPr>
        <w:t>(iv) The following provisions concerning use of Cash shall apply.</w:t>
      </w:r>
    </w:p>
    <w:p>
      <w:pPr>
        <w:pStyle w:val="Normal"/>
        <w:bidi w:val="0"/>
        <w:spacing w:before="240" w:after="0"/>
        <w:ind w:hanging="0" w:start="720"/>
        <w:jc w:val="both"/>
        <w:rPr>
          <w:rFonts w:ascii="Times New Roman" w:hAnsi="Times New Roman"/>
          <w:sz w:val="22"/>
        </w:rPr>
      </w:pPr>
      <w:r>
        <w:rPr>
          <w:rFonts w:ascii="Times New Roman" w:hAnsi="Times New Roman"/>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rFonts w:ascii="Times New Roman" w:hAnsi="Times New Roman"/>
          <w:sz w:val="22"/>
          <w:u w:val="single"/>
        </w:rPr>
        <w:t>Downgraded Group</w:t>
      </w:r>
      <w:r>
        <w:rPr>
          <w:rFonts w:ascii="Times New Roman" w:hAnsi="Times New Roman"/>
          <w:sz w:val="22"/>
        </w:rPr>
        <w:t>" and the event that caused it or its Custodian to be ineligible to hold Cash shall be a "</w:t>
      </w:r>
      <w:r>
        <w:rPr>
          <w:rFonts w:ascii="Times New Roman" w:hAnsi="Times New Roman"/>
          <w:sz w:val="22"/>
          <w:u w:val="single"/>
        </w:rPr>
        <w:t>Credit Rating Event</w:t>
      </w:r>
      <w:r>
        <w:rPr>
          <w:rFonts w:ascii="Times New Roman" w:hAnsi="Times New Roman"/>
          <w:sz w:val="22"/>
        </w:rPr>
        <w:t>") then the provisions of Paragraph 6(a)(iv)(B) shall apply.</w:t>
      </w:r>
    </w:p>
    <w:p>
      <w:pPr>
        <w:pStyle w:val="BodyTextIndent3"/>
        <w:bidi w:val="0"/>
        <w:ind w:hanging="0" w:start="720"/>
        <w:rPr>
          <w:rFonts w:ascii="Times New Roman" w:hAnsi="Times New Roman"/>
          <w:b/>
          <w:sz w:val="22"/>
        </w:rPr>
      </w:pPr>
      <w:r>
        <w:rPr>
          <w:rFonts w:ascii="Times New Roman" w:hAnsi="Times New Roman"/>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rFonts w:ascii="Times New Roman" w:hAnsi="Times New Roman"/>
          <w:sz w:val="22"/>
          <w:u w:val="single"/>
        </w:rPr>
        <w:t>Collateral Account</w:t>
      </w:r>
      <w:r>
        <w:rPr>
          <w:rFonts w:ascii="Times New Roman" w:hAnsi="Times New Roman"/>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bidi w:val="0"/>
        <w:spacing w:before="240" w:after="0"/>
        <w:ind w:firstLine="720"/>
        <w:jc w:val="both"/>
        <w:rPr>
          <w:rFonts w:ascii="Times New Roman" w:hAnsi="Times New Roman"/>
          <w:b/>
          <w:sz w:val="22"/>
        </w:rPr>
      </w:pPr>
      <w:r>
        <w:rPr>
          <w:rFonts w:ascii="Times New Roman" w:hAnsi="Times New Roman"/>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bidi w:val="0"/>
        <w:spacing w:before="240" w:after="0"/>
        <w:ind w:firstLine="720"/>
        <w:jc w:val="both"/>
        <w:rPr>
          <w:rFonts w:ascii="Times New Roman" w:hAnsi="Times New Roman"/>
          <w:sz w:val="22"/>
        </w:rPr>
      </w:pPr>
      <w:r>
        <w:rPr>
          <w:rFonts w:ascii="Times New Roman" w:hAnsi="Times New Roman"/>
          <w:sz w:val="22"/>
        </w:rPr>
        <w:t xml:space="preserve">(b) </w:t>
      </w:r>
      <w:r>
        <w:rPr>
          <w:rFonts w:ascii="Times New Roman" w:hAnsi="Times New Roman"/>
          <w:sz w:val="22"/>
          <w:u w:val="single"/>
        </w:rPr>
        <w:t>Letters of Credit</w:t>
      </w:r>
      <w:r>
        <w:rPr>
          <w:rFonts w:ascii="Times New Roman" w:hAnsi="Times New Roman"/>
          <w:sz w:val="22"/>
        </w:rPr>
        <w:t>.    Performance Assurance provided in the form of a Letter of Credit shall be subject to the following provisions.</w:t>
      </w:r>
    </w:p>
    <w:p>
      <w:pPr>
        <w:pStyle w:val="Normal"/>
        <w:tabs>
          <w:tab w:val="clear" w:pos="720"/>
          <w:tab w:val="left" w:pos="180" w:leader="none"/>
        </w:tabs>
        <w:bidi w:val="0"/>
        <w:spacing w:before="240" w:after="0"/>
        <w:ind w:firstLine="360"/>
        <w:jc w:val="both"/>
        <w:rPr>
          <w:rFonts w:ascii="Times New Roman" w:hAnsi="Times New Roman"/>
          <w:sz w:val="22"/>
        </w:rPr>
      </w:pPr>
      <w:r>
        <w:rPr>
          <w:rFonts w:ascii="Times New Roman" w:hAnsi="Times New Roman"/>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 provide for the benefit of Secured Group either a substitute Letter of Credit that is issued by a bank acceptable to Secured Group or other Eligible Collateral, in each case within one Business Day after such refusal.</w:t>
      </w:r>
    </w:p>
    <w:p>
      <w:pPr>
        <w:pStyle w:val="Normal"/>
        <w:bidi w:val="0"/>
        <w:spacing w:before="240" w:after="0"/>
        <w:ind w:firstLine="720"/>
        <w:jc w:val="both"/>
        <w:rPr>
          <w:rFonts w:ascii="Times New Roman" w:hAnsi="Times New Roman"/>
          <w:sz w:val="22"/>
        </w:rPr>
      </w:pPr>
      <w:r>
        <w:rPr>
          <w:rFonts w:ascii="Times New Roman" w:hAnsi="Times New Roman"/>
          <w:sz w:val="22"/>
        </w:rPr>
        <w:t>(ii) As one method of providing Performance Assurance, Pledging Group may increase the amount of an outstanding Letter of Credit or establish one or more additional Letters of Credit.</w:t>
      </w:r>
    </w:p>
    <w:p>
      <w:pPr>
        <w:pStyle w:val="Normal"/>
        <w:bidi w:val="0"/>
        <w:ind w:firstLine="36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bidi w:val="0"/>
        <w:spacing w:before="240" w:after="0"/>
        <w:ind w:firstLine="720"/>
        <w:jc w:val="both"/>
        <w:rPr>
          <w:rFonts w:ascii="Times New Roman" w:hAnsi="Times New Roman"/>
          <w:sz w:val="22"/>
        </w:rPr>
      </w:pPr>
      <w:r>
        <w:rPr>
          <w:rFonts w:ascii="Times New Roman" w:hAnsi="Times New Roman"/>
          <w:sz w:val="22"/>
        </w:rPr>
        <w:t xml:space="preserve">(iv) Upon or at any time after the occurrence of a Default with respect to Pledging Group, or if an Early Termination Date has occurred or been designated under an Underlying Master Agreement as a result of a Default with respect to Pledging Group, then 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bidi w:val="0"/>
        <w:spacing w:before="240" w:after="0"/>
        <w:ind w:firstLine="720"/>
        <w:jc w:val="both"/>
        <w:rPr>
          <w:rFonts w:ascii="Times New Roman" w:hAnsi="Times New Roman"/>
          <w:sz w:val="22"/>
        </w:rPr>
      </w:pPr>
      <w:r>
        <w:rPr>
          <w:rFonts w:ascii="Times New Roman" w:hAnsi="Times New Roman"/>
          <w:sz w:val="22"/>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bidi w:val="0"/>
        <w:spacing w:before="240" w:after="0"/>
        <w:ind w:firstLine="720"/>
        <w:jc w:val="both"/>
        <w:rPr>
          <w:rFonts w:ascii="Times New Roman" w:hAnsi="Times New Roman"/>
          <w:sz w:val="22"/>
        </w:rPr>
      </w:pPr>
      <w:r>
        <w:rPr>
          <w:rFonts w:ascii="Times New Roman" w:hAnsi="Times New Roman"/>
          <w:sz w:val="22"/>
        </w:rPr>
        <w:t>(vi) In all cases, notwithstanding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(c) </w:t>
      </w:r>
      <w:r>
        <w:rPr>
          <w:rFonts w:ascii="Times New Roman" w:hAnsi="Times New Roman"/>
          <w:sz w:val="22"/>
          <w:u w:val="single"/>
        </w:rPr>
        <w:t>Care of Performance Assurance</w:t>
      </w:r>
      <w:r>
        <w:rPr>
          <w:rFonts w:ascii="Times New Roman" w:hAnsi="Times New Roman"/>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(d) </w:t>
      </w:r>
      <w:r>
        <w:rPr>
          <w:rFonts w:ascii="Times New Roman" w:hAnsi="Times New Roman"/>
          <w:sz w:val="22"/>
          <w:u w:val="single"/>
        </w:rPr>
        <w:t>Collateral Administrator</w:t>
      </w:r>
      <w:r>
        <w:rPr>
          <w:rFonts w:ascii="Times New Roman" w:hAnsi="Times New Roman"/>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(e) </w:t>
      </w:r>
      <w:r>
        <w:rPr>
          <w:rFonts w:ascii="Times New Roman" w:hAnsi="Times New Roman"/>
          <w:sz w:val="22"/>
          <w:u w:val="single"/>
        </w:rPr>
        <w:t>Default</w:t>
      </w:r>
      <w:r>
        <w:rPr>
          <w:rFonts w:ascii="Times New Roman" w:hAnsi="Times New Roman"/>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7.</w:t>
        <w:tab/>
      </w:r>
      <w:r>
        <w:rPr>
          <w:rFonts w:ascii="Times New Roman" w:hAnsi="Times New Roman"/>
          <w:sz w:val="22"/>
          <w:u w:val="single"/>
        </w:rPr>
        <w:t>Exercise of Rights Against Performance Assurance</w:t>
      </w:r>
      <w:r>
        <w:rPr>
          <w:rFonts w:ascii="Times New Roman" w:hAnsi="Times New Roman"/>
          <w:sz w:val="22"/>
        </w:rPr>
        <w: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BodyText3"/>
        <w:bidi w:val="0"/>
        <w:rPr>
          <w:rFonts w:ascii="Times New Roman" w:hAnsi="Times New Roman"/>
          <w:sz w:val="22"/>
        </w:rPr>
      </w:pPr>
      <w:r>
        <w:rPr>
          <w:rFonts w:ascii="Times New Roman" w:hAnsi="Times New Roman"/>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suppressAutoHyphens w:val="true"/>
        <w:bidi w:val="0"/>
        <w:ind w:hanging="0" w:start="720"/>
        <w:jc w:val="both"/>
        <w:rPr>
          <w:rFonts w:ascii="Times New Roman" w:hAnsi="Times New Roman"/>
          <w:sz w:val="22"/>
        </w:rPr>
      </w:pPr>
      <w:r>
        <w:rPr>
          <w:rFonts w:ascii="Times New Roman" w:hAnsi="Times New Roman"/>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bidi w:val="0"/>
        <w:jc w:val="both"/>
        <w:rPr>
          <w:rFonts w:ascii="Times New Roman" w:hAnsi="Times New Roman"/>
          <w:sz w:val="22"/>
        </w:rPr>
      </w:pPr>
      <w:r>
        <w:rPr>
          <w:rFonts w:ascii="Times New Roman" w:hAnsi="Times New Roman"/>
          <w:sz w:val="22"/>
        </w:rPr>
      </w:r>
    </w:p>
    <w:p>
      <w:pPr>
        <w:pStyle w:val="Normal"/>
        <w:tabs>
          <w:tab w:val="left" w:pos="720" w:leader="none"/>
        </w:tabs>
        <w:suppressAutoHyphens w:val="true"/>
        <w:bidi w:val="0"/>
        <w:ind w:hanging="0" w:start="720"/>
        <w:jc w:val="both"/>
        <w:rPr>
          <w:rFonts w:ascii="Times New Roman" w:hAnsi="Times New Roman"/>
          <w:sz w:val="22"/>
        </w:rPr>
      </w:pPr>
      <w:r>
        <w:rPr>
          <w:rFonts w:ascii="Times New Roman" w:hAnsi="Times New Roman"/>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suppressAutoHyphens w:val="true"/>
        <w:bidi w:val="0"/>
        <w:ind w:hanging="720" w:start="1440"/>
        <w:jc w:val="both"/>
        <w:rPr>
          <w:rFonts w:ascii="Times New Roman" w:hAnsi="Times New Roman"/>
          <w:sz w:val="22"/>
        </w:rPr>
      </w:pPr>
      <w:r>
        <w:rPr>
          <w:rFonts w:ascii="Times New Roman" w:hAnsi="Times New Roman"/>
          <w:sz w:val="22"/>
        </w:rPr>
        <w:t>(C) the right to draw on any outstanding Letter of Credit issued for its benefit; and/or</w:t>
      </w:r>
    </w:p>
    <w:p>
      <w:pPr>
        <w:pStyle w:val="Normal"/>
        <w:tabs>
          <w:tab w:val="clear" w:pos="720"/>
          <w:tab w:val="left" w:pos="1440" w:leader="none"/>
        </w:tabs>
        <w:suppressAutoHyphens w:val="true"/>
        <w:bidi w:val="0"/>
        <w:ind w:hanging="720" w:start="1440"/>
        <w:jc w:val="both"/>
        <w:rPr>
          <w:rFonts w:ascii="Times New Roman" w:hAnsi="Times New Roman"/>
          <w:sz w:val="22"/>
        </w:rPr>
      </w:pPr>
      <w:r>
        <w:rPr>
          <w:rFonts w:ascii="Times New Roman" w:hAnsi="Times New Roman"/>
          <w:sz w:val="22"/>
        </w:rPr>
      </w:r>
    </w:p>
    <w:p>
      <w:pPr>
        <w:pStyle w:val="Normal"/>
        <w:tabs>
          <w:tab w:val="clear" w:pos="720"/>
          <w:tab w:val="left" w:pos="1440" w:leader="none"/>
        </w:tabs>
        <w:suppressAutoHyphens w:val="true"/>
        <w:bidi w:val="0"/>
        <w:ind w:hanging="0" w:start="720"/>
        <w:jc w:val="both"/>
        <w:rPr>
          <w:rFonts w:ascii="Times New Roman" w:hAnsi="Times New Roman"/>
          <w:sz w:val="22"/>
        </w:rPr>
      </w:pPr>
      <w:r>
        <w:rPr>
          <w:rFonts w:ascii="Times New Roman" w:hAnsi="Times New Roman"/>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bidi w:val="0"/>
        <w:rPr>
          <w:rFonts w:ascii="Times New Roman" w:hAnsi="Times New Roman"/>
          <w:sz w:val="22"/>
        </w:rPr>
      </w:pPr>
      <w:r>
        <w:rPr>
          <w:rFonts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bidi w:val="0"/>
        <w:spacing w:before="240" w:after="0"/>
        <w:ind w:firstLine="360"/>
        <w:jc w:val="both"/>
        <w:rPr>
          <w:rFonts w:ascii="Times New Roman" w:hAnsi="Times New Roman"/>
          <w:sz w:val="22"/>
        </w:rPr>
      </w:pPr>
      <w:r>
        <w:rPr>
          <w:rFonts w:ascii="Times New Roman" w:hAnsi="Times New Roman"/>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bidi w:val="0"/>
        <w:spacing w:before="240" w:after="0"/>
        <w:ind w:hanging="0" w:start="720"/>
        <w:jc w:val="both"/>
        <w:rPr>
          <w:rFonts w:ascii="Times New Roman" w:hAnsi="Times New Roman"/>
          <w:sz w:val="22"/>
        </w:rPr>
      </w:pPr>
      <w:r>
        <w:rPr>
          <w:rFonts w:ascii="Times New Roman" w:hAnsi="Times New Roman"/>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bidi w:val="0"/>
        <w:ind w:hanging="0" w:start="720"/>
        <w:rPr>
          <w:rFonts w:ascii="Times New Roman" w:hAnsi="Times New Roman"/>
          <w:sz w:val="22"/>
        </w:rPr>
      </w:pPr>
      <w:r>
        <w:rPr>
          <w:rFonts w:ascii="Times New Roman" w:hAnsi="Times New Roman"/>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(z) exercise rights and remedies available to Pledging Group under the terms of any Letter of Credit; and</w:t>
      </w:r>
    </w:p>
    <w:p>
      <w:pPr>
        <w:pStyle w:val="BodyTextIndent2"/>
        <w:bidi w:val="0"/>
        <w:ind w:hanging="0" w:start="720"/>
        <w:rPr>
          <w:rFonts w:ascii="Times New Roman" w:hAnsi="Times New Roman"/>
          <w:sz w:val="22"/>
        </w:rPr>
      </w:pPr>
      <w:r>
        <w:rPr>
          <w:rFonts w:ascii="Times New Roman" w:hAnsi="Times New Roman"/>
          <w:sz w:val="22"/>
        </w:rPr>
        <w:t>(C) Secured Group shall be prohibited from drawing on any Letter of Credit that has been posted by Pledging Group for its benefit.</w:t>
      </w:r>
    </w:p>
    <w:p>
      <w:pPr>
        <w:pStyle w:val="Normal"/>
        <w:bidi w:val="0"/>
        <w:spacing w:before="240" w:after="0"/>
        <w:jc w:val="both"/>
        <w:rPr>
          <w:rFonts w:ascii="Times New Roman" w:hAnsi="Times New Roman"/>
          <w:sz w:val="22"/>
          <w:u w:val="single"/>
        </w:rPr>
      </w:pPr>
      <w:r>
        <w:rPr>
          <w:rFonts w:ascii="Times New Roman" w:hAnsi="Times New Roman"/>
          <w:sz w:val="22"/>
        </w:rPr>
        <w:t>Paragraph 8.</w:t>
        <w:tab/>
      </w:r>
      <w:r>
        <w:rPr>
          <w:rFonts w:ascii="Times New Roman" w:hAnsi="Times New Roman"/>
          <w:sz w:val="22"/>
          <w:u w:val="single"/>
        </w:rPr>
        <w:t>Disputed Calculations</w:t>
      </w:r>
    </w:p>
    <w:p>
      <w:pPr>
        <w:pStyle w:val="Normal"/>
        <w:bidi w:val="0"/>
        <w:spacing w:before="240" w:after="0"/>
        <w:jc w:val="both"/>
        <w:rPr>
          <w:rFonts w:ascii="Times New Roman" w:hAnsi="Times New Roman"/>
          <w:sz w:val="22"/>
        </w:rPr>
      </w:pPr>
      <w:r>
        <w:rPr>
          <w:rFonts w:ascii="Times New Roman" w:hAnsi="Times New Roman"/>
          <w:sz w:val="22"/>
        </w:rPr>
        <w:tab/>
        <w:t xml:space="preserve">(a) If Pledging Group shall dispute the amount of Performance Assurance requested by Secured Group and such dispute relates to the amount of the Net Exposure claimed by Secured Group, then Pledging Group shall (i) notify Secured Group of the existence and nature of the dispute not later than the Notification Time on the first Business Day following the date that the demand for Performance Assurance is made by Secured Group,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Collateral.    </w:t>
      </w:r>
    </w:p>
    <w:p>
      <w:pPr>
        <w:pStyle w:val="Normal"/>
        <w:bidi w:val="0"/>
        <w:spacing w:before="240" w:after="0"/>
        <w:ind w:firstLine="720"/>
        <w:jc w:val="both"/>
        <w:rPr>
          <w:rFonts w:ascii="Times New Roman" w:hAnsi="Times New Roman"/>
          <w:sz w:val="22"/>
        </w:rPr>
      </w:pPr>
      <w:r>
        <w:rPr>
          <w:rFonts w:ascii="Times New Roman" w:hAnsi="Times New Roman"/>
          <w:sz w:val="22"/>
        </w:rPr>
        <w:t>(b) In all such cases, the Parties thereafter shall promptly consult with each other in order to reconcile the two conflicting amounts.    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detail.    Performance Assurance shall thereupon be provided, returned, or reduced, if necessary, on the next Business Day in accordance with the results of such recalculation.</w:t>
      </w:r>
    </w:p>
    <w:p>
      <w:pPr>
        <w:pStyle w:val="Normal"/>
        <w:tabs>
          <w:tab w:val="left" w:pos="720" w:leader="none"/>
        </w:tabs>
        <w:suppressAutoHyphens w:val="true"/>
        <w:bidi w:val="0"/>
        <w:ind w:hanging="0" w:start="720"/>
        <w:jc w:val="both"/>
        <w:rPr>
          <w:rFonts w:ascii="Times New Roman" w:hAnsi="Times New Roman"/>
          <w:sz w:val="22"/>
        </w:rPr>
      </w:pPr>
      <w:r>
        <w:rPr>
          <w:rFonts w:ascii="Times New Roman" w:hAnsi="Times New Roman"/>
          <w:sz w:val="22"/>
        </w:rPr>
        <w:tab/>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Paragraph 9.</w:t>
        <w:tab/>
      </w:r>
      <w:r>
        <w:rPr>
          <w:rFonts w:ascii="Times New Roman" w:hAnsi="Times New Roman"/>
          <w:sz w:val="22"/>
          <w:u w:val="single"/>
        </w:rPr>
        <w:t>Covenants; Representations and Warranties; Miscellaneous</w:t>
      </w:r>
      <w:r>
        <w:rPr>
          <w:rFonts w:ascii="Times New Roman" w:hAnsi="Times New Roman"/>
          <w:sz w:val="22"/>
        </w:rPr>
        <w: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ind w:firstLine="720"/>
        <w:jc w:val="both"/>
        <w:rPr>
          <w:rFonts w:ascii="Times New Roman" w:hAnsi="Times New Roman"/>
          <w:sz w:val="22"/>
        </w:rPr>
      </w:pPr>
      <w:r>
        <w:rPr>
          <w:rFonts w:ascii="Times New Roman" w:hAnsi="Times New Roman"/>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ind w:firstLine="720"/>
        <w:jc w:val="both"/>
        <w:rPr>
          <w:rFonts w:ascii="Times New Roman" w:hAnsi="Times New Roman"/>
          <w:sz w:val="22"/>
        </w:rPr>
      </w:pPr>
      <w:r>
        <w:rPr>
          <w:rFonts w:ascii="Times New Roman" w:hAnsi="Times New Roman"/>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ind w:firstLine="720"/>
        <w:jc w:val="both"/>
        <w:rPr>
          <w:rFonts w:ascii="Times New Roman" w:hAnsi="Times New Roman"/>
          <w:sz w:val="22"/>
        </w:rPr>
      </w:pPr>
      <w:r>
        <w:rPr>
          <w:rFonts w:ascii="Times New Roman" w:hAnsi="Times New Roman"/>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 xml:space="preserve">(f) The headings in the Collateral Annex are for convenience of reference only, and shall not affect the meaning or construction of any provision thereof. </w:t>
      </w:r>
    </w:p>
    <w:p>
      <w:pPr>
        <w:pStyle w:val="Normal"/>
        <w:bidi w:val="0"/>
        <w:jc w:val="center"/>
        <w:rPr/>
      </w:pPr>
      <w:r>
        <w:rPr>
          <w:rFonts w:ascii="Times New Roman" w:hAnsi="Times New Roman"/>
          <w:sz w:val="22"/>
        </w:rPr>
        <w:tab/>
      </w:r>
      <w:r>
        <w:br w:type="page"/>
      </w:r>
    </w:p>
    <w:p>
      <w:pPr>
        <w:pStyle w:val="Normal"/>
        <w:bidi w:val="0"/>
        <w:spacing w:before="0" w:after="0"/>
        <w:ind w:hanging="0"/>
        <w:jc w:val="center"/>
        <w:rPr/>
      </w:pPr>
      <w:r>
        <w:rPr>
          <w:rFonts w:ascii="Times New Roman" w:hAnsi="Times New Roman"/>
          <w:sz w:val="22"/>
          <w:u w:val="single"/>
        </w:rPr>
        <w:t xml:space="preserve">SCHEDULE 1 </w:t>
      </w:r>
      <w:r>
        <w:rPr>
          <w:rFonts w:ascii="Times New Roman" w:hAnsi="Times New Roman"/>
          <w:caps/>
          <w:sz w:val="22"/>
          <w:u w:val="single"/>
        </w:rPr>
        <w:t>to Collateral Annex</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t>IRREVOCABLE STANDBY LETTER OF CREDIT FORMAT</w:t>
      </w:r>
    </w:p>
    <w:p>
      <w:pPr>
        <w:pStyle w:val="Normal"/>
        <w:bidi w:val="0"/>
        <w:jc w:val="center"/>
        <w:rPr>
          <w:rFonts w:ascii="Times New Roman" w:hAnsi="Times New Roman"/>
          <w:sz w:val="22"/>
          <w:u w:val="single"/>
        </w:rPr>
      </w:pPr>
      <w:r>
        <w:rPr>
          <w:rFonts w:ascii="Times New Roman" w:hAnsi="Times New Roman"/>
          <w:sz w:val="22"/>
        </w:rPr>
        <w:t xml:space="preserve">DATE OF ISSUANCE:    </w:t>
      </w:r>
      <w:r>
        <w:rPr>
          <w:rFonts w:ascii="Times New Roman" w:hAnsi="Times New Roman"/>
          <w:sz w:val="22"/>
          <w:u w:val="single"/>
        </w:rPr>
        <w:tab/>
        <w:tab/>
        <w:tab/>
      </w:r>
    </w:p>
    <w:p>
      <w:pPr>
        <w:pStyle w:val="Normal"/>
        <w:bidi w:val="0"/>
        <w:jc w:val="center"/>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b/>
          <w:sz w:val="22"/>
        </w:rPr>
        <w:t>[</w:t>
      </w:r>
      <w:r>
        <w:rPr>
          <w:rFonts w:ascii="Times New Roman" w:hAnsi="Times New Roman"/>
          <w:sz w:val="22"/>
        </w:rPr>
        <w:t>Address</w:t>
      </w:r>
      <w:r>
        <w:rPr>
          <w:rFonts w:ascii="Times New Roman" w:hAnsi="Times New Roman"/>
          <w:b/>
          <w:sz w:val="22"/>
        </w:rPr>
        <w:t>]</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ab/>
        <w:t>Re:    Credit No. _______________</w:t>
      </w:r>
    </w:p>
    <w:p>
      <w:pPr>
        <w:pStyle w:val="Normal"/>
        <w:bidi w:val="0"/>
        <w:jc w:val="start"/>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rFonts w:ascii="Times New Roman" w:hAnsi="Times New Roman"/>
          <w:sz w:val="22"/>
          <w:u w:val="single"/>
        </w:rPr>
        <w:t>Location</w:t>
      </w:r>
      <w:r>
        <w:rPr>
          <w:rFonts w:ascii="Times New Roman" w:hAnsi="Times New Roman"/>
          <w:sz w:val="22"/>
        </w:rPr>
        <w:t xml:space="preserve">) on or before the expiration hereof against presentation to us of one or more of the following statements, dated and signed by </w:t>
      </w:r>
      <w:r>
        <w:rPr>
          <w:rFonts w:ascii="Times New Roman" w:hAnsi="Times New Roman"/>
          <w:b/>
          <w:sz w:val="22"/>
        </w:rPr>
        <w:t>[</w:t>
      </w:r>
      <w:r>
        <w:rPr>
          <w:rFonts w:ascii="Times New Roman" w:hAnsi="Times New Roman"/>
          <w:sz w:val="22"/>
        </w:rPr>
        <w:t>Enron North America Corp.</w:t>
      </w:r>
      <w:r>
        <w:rPr>
          <w:rFonts w:ascii="Times New Roman" w:hAnsi="Times New Roman"/>
          <w:b/>
          <w:sz w:val="22"/>
        </w:rPr>
        <w:t>] [X]</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360"/>
        <w:jc w:val="both"/>
        <w:rPr>
          <w:rFonts w:ascii="Times New Roman" w:hAnsi="Times New Roman"/>
          <w:sz w:val="22"/>
        </w:rPr>
      </w:pPr>
      <w:r>
        <w:rPr>
          <w:rFonts w:ascii="Times New Roman" w:hAnsi="Times New Roman"/>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bidi w:val="0"/>
        <w:ind w:hanging="720" w:start="720"/>
        <w:jc w:val="both"/>
        <w:rPr>
          <w:rFonts w:ascii="Times New Roman" w:hAnsi="Times New Roman"/>
          <w:sz w:val="22"/>
        </w:rPr>
      </w:pPr>
      <w:r>
        <w:rPr>
          <w:rFonts w:ascii="Times New Roman" w:hAnsi="Times New Roman"/>
          <w:sz w:val="22"/>
        </w:rPr>
        <w:t xml:space="preserve"> </w:t>
      </w:r>
    </w:p>
    <w:p>
      <w:pPr>
        <w:pStyle w:val="Normal"/>
        <w:bidi w:val="0"/>
        <w:ind w:hanging="0" w:start="360"/>
        <w:jc w:val="both"/>
        <w:rPr>
          <w:rFonts w:ascii="Times New Roman" w:hAnsi="Times New Roman"/>
          <w:sz w:val="22"/>
        </w:rPr>
      </w:pPr>
      <w:r>
        <w:rPr>
          <w:rFonts w:ascii="Times New Roman" w:hAnsi="Times New Roman"/>
          <w:sz w:val="22"/>
        </w:rPr>
        <w:t>2.</w:t>
        <w:tab/>
        <w:t>"An Underlying Master Agreements Close-Out (as defined in the Master Netting, Setoff, and Security Agreement dated as of ________ among ______________, as the same may be amended (the "Master Agreement")) has occurred or been designated as a result of a Default with respect to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 and</w:t>
      </w:r>
    </w:p>
    <w:p>
      <w:pPr>
        <w:pStyle w:val="Normal"/>
        <w:bidi w:val="0"/>
        <w:ind w:hanging="0" w:start="360"/>
        <w:jc w:val="both"/>
        <w:rPr>
          <w:rFonts w:ascii="Times New Roman" w:hAnsi="Times New Roman"/>
          <w:sz w:val="22"/>
        </w:rPr>
      </w:pPr>
      <w:r>
        <w:rPr>
          <w:rFonts w:ascii="Times New Roman" w:hAnsi="Times New Roman"/>
          <w:sz w:val="22"/>
        </w:rPr>
      </w:r>
    </w:p>
    <w:p>
      <w:pPr>
        <w:pStyle w:val="Normal"/>
        <w:bidi w:val="0"/>
        <w:ind w:hanging="0" w:start="360"/>
        <w:jc w:val="both"/>
        <w:rPr>
          <w:rFonts w:ascii="Times New Roman" w:hAnsi="Times New Roman"/>
          <w:sz w:val="22"/>
        </w:rPr>
      </w:pPr>
      <w:r>
        <w:rPr>
          <w:rFonts w:ascii="Times New Roman" w:hAnsi="Times New Roman"/>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bidi w:val="0"/>
        <w:spacing w:before="0" w:after="0"/>
        <w:rPr>
          <w:rFonts w:ascii="Times New Roman" w:hAnsi="Times New Roman"/>
          <w:sz w:val="22"/>
        </w:rPr>
      </w:pPr>
      <w:r>
        <w:rPr>
          <w:rFonts w:ascii="Times New Roman" w:hAnsi="Times New Roman"/>
          <w:sz w:val="22"/>
        </w:rPr>
      </w:r>
    </w:p>
    <w:p>
      <w:pPr>
        <w:pStyle w:val="Normal"/>
        <w:tabs>
          <w:tab w:val="left" w:pos="720" w:leader="none"/>
        </w:tabs>
        <w:bidi w:val="0"/>
        <w:jc w:val="both"/>
        <w:rPr>
          <w:rFonts w:ascii="Times New Roman" w:hAnsi="Times New Roman"/>
          <w:sz w:val="22"/>
        </w:rPr>
      </w:pPr>
      <w:r>
        <w:rPr>
          <w:rFonts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jc w:val="both"/>
        <w:rPr>
          <w:rFonts w:ascii="Times New Roman" w:hAnsi="Times New Roman"/>
          <w:sz w:val="22"/>
        </w:rPr>
      </w:pPr>
      <w:r>
        <w:rPr>
          <w:rFonts w:ascii="Times New Roman" w:hAnsi="Times New Roman"/>
          <w:sz w:val="22"/>
        </w:rPr>
        <w:tab/>
      </w:r>
    </w:p>
    <w:p>
      <w:pPr>
        <w:pStyle w:val="Normal"/>
        <w:tabs>
          <w:tab w:val="left" w:pos="720" w:leader="none"/>
        </w:tabs>
        <w:bidi w:val="0"/>
        <w:jc w:val="both"/>
        <w:rPr>
          <w:rFonts w:ascii="Times New Roman" w:hAnsi="Times New Roman"/>
          <w:sz w:val="22"/>
        </w:rPr>
      </w:pPr>
      <w:r>
        <w:rPr>
          <w:rFonts w:ascii="Times New Roman" w:hAnsi="Times New Roman"/>
          <w:sz w:val="22"/>
        </w:rPr>
        <w:tab/>
        <w:t>We hereby agree with you that documents drawn under and in compliance with the terms of this Letter of Credit shall be duly honored upon presentation as specified.</w:t>
      </w:r>
    </w:p>
    <w:p>
      <w:pPr>
        <w:pStyle w:val="Normal"/>
        <w:tabs>
          <w:tab w:val="left" w:pos="720" w:leader="none"/>
        </w:tabs>
        <w:bidi w:val="0"/>
        <w:jc w:val="both"/>
        <w:rPr>
          <w:rFonts w:ascii="Times New Roman" w:hAnsi="Times New Roman"/>
          <w:sz w:val="22"/>
        </w:rPr>
      </w:pPr>
      <w:r>
        <w:rPr>
          <w:rFonts w:ascii="Times New Roman" w:hAnsi="Times New Roman"/>
          <w:sz w:val="22"/>
        </w:rPr>
      </w:r>
    </w:p>
    <w:p>
      <w:pPr>
        <w:pStyle w:val="Normal"/>
        <w:tabs>
          <w:tab w:val="left" w:pos="720" w:leader="none"/>
        </w:tabs>
        <w:bidi w:val="0"/>
        <w:jc w:val="both"/>
        <w:rPr>
          <w:rFonts w:ascii="Times New Roman" w:hAnsi="Times New Roman"/>
          <w:sz w:val="22"/>
        </w:rPr>
      </w:pPr>
      <w:r>
        <w:rPr>
          <w:rFonts w:ascii="Times New Roman" w:hAnsi="Times New Roman"/>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rPr>
          <w:rFonts w:ascii="Times New Roman" w:hAnsi="Times New Roman"/>
        </w:rPr>
      </w:pPr>
      <w:r>
        <w:rPr>
          <w:rFonts w:ascii="Times New Roman" w:hAnsi="Times New Roman"/>
        </w:rPr>
        <w:tab/>
      </w:r>
    </w:p>
    <w:p>
      <w:pPr>
        <w:pStyle w:val="BodyText"/>
        <w:bidi w:val="0"/>
        <w:rPr>
          <w:rFonts w:ascii="Times New Roman" w:hAnsi="Times New Roman"/>
        </w:rPr>
      </w:pPr>
      <w:r>
        <w:rPr>
          <w:rFonts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jc w:val="both"/>
        <w:rPr>
          <w:rFonts w:ascii="Times New Roman" w:hAnsi="Times New Roman"/>
          <w:sz w:val="22"/>
        </w:rPr>
      </w:pPr>
      <w:r>
        <w:rPr>
          <w:rFonts w:ascii="Times New Roman" w:hAnsi="Times New Roman"/>
          <w:sz w:val="22"/>
        </w:rPr>
      </w:r>
    </w:p>
    <w:p>
      <w:pPr>
        <w:pStyle w:val="Normal"/>
        <w:tabs>
          <w:tab w:val="left" w:pos="720" w:leader="none"/>
        </w:tabs>
        <w:bidi w:val="0"/>
        <w:jc w:val="both"/>
        <w:rPr>
          <w:rFonts w:ascii="Times New Roman" w:hAnsi="Times New Roman"/>
          <w:sz w:val="22"/>
        </w:rPr>
      </w:pPr>
      <w:r>
        <w:rPr>
          <w:rFonts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jc w:val="both"/>
        <w:rPr>
          <w:rFonts w:ascii="Times New Roman" w:hAnsi="Times New Roman"/>
          <w:sz w:val="22"/>
        </w:rPr>
      </w:pPr>
      <w:r>
        <w:rPr>
          <w:rFonts w:ascii="Times New Roman" w:hAnsi="Times New Roman"/>
          <w:sz w:val="22"/>
        </w:rPr>
      </w:r>
    </w:p>
    <w:p>
      <w:pPr>
        <w:pStyle w:val="BodyText3"/>
        <w:tabs>
          <w:tab w:val="clear" w:pos="0"/>
          <w:tab w:val="left" w:pos="720" w:leader="none"/>
        </w:tabs>
        <w:bidi w:val="0"/>
        <w:rPr>
          <w:rFonts w:ascii="Times New Roman" w:hAnsi="Times New Roman"/>
          <w:sz w:val="22"/>
        </w:rPr>
      </w:pPr>
      <w:r>
        <w:rPr>
          <w:rFonts w:ascii="Times New Roman" w:hAnsi="Times New Roman"/>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bidi w:val="0"/>
        <w:jc w:val="both"/>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b/>
          <w:sz w:val="22"/>
        </w:rPr>
        <w:t>[</w:t>
      </w:r>
      <w:r>
        <w:rPr>
          <w:rFonts w:ascii="Times New Roman" w:hAnsi="Times New Roman"/>
          <w:sz w:val="22"/>
        </w:rPr>
        <w:t>BANK SIGNATURE</w:t>
      </w:r>
      <w:r>
        <w:rPr>
          <w:rFonts w:ascii="Times New Roman" w:hAnsi="Times New Roman"/>
          <w:b/>
          <w:sz w:val="22"/>
        </w:rPr>
        <w:t>]</w:t>
      </w:r>
    </w:p>
    <w:p>
      <w:pPr>
        <w:pStyle w:val="Normal"/>
        <w:bidi w:val="0"/>
        <w:jc w:val="start"/>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sz w:val="22"/>
        </w:rPr>
      </w:pPr>
      <w:r>
        <w:rPr>
          <w:rFonts w:ascii="Times New Roman" w:hAnsi="Times New Roman"/>
          <w:sz w:val="22"/>
        </w:rPr>
        <w:t xml:space="preserve"> </w:t>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sz w:val="22"/>
        </w:rPr>
      </w:pPr>
      <w:r>
        <w:rPr>
          <w:rFonts w:ascii="Times New Roman" w:hAnsi="Times New Roman"/>
          <w:sz w:val="22"/>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sz w:val="22"/>
        </w:rPr>
      </w:pPr>
      <w:r>
        <w:rPr>
          <w:rFonts w:ascii="Times New Roman" w:hAnsi="Times New Roman"/>
          <w:sz w:val="22"/>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[1:4 1:4] Changed</w:t>
        <w:tab/>
        <w:t>"10/09/01" to "10/18/01"</w:t>
      </w:r>
    </w:p>
    <w:p>
      <w:pPr>
        <w:pStyle w:val="Normal"/>
        <w:bidi w:val="0"/>
        <w:spacing w:lineRule="atLeast" w:line="240"/>
        <w:jc w:val="start"/>
        <w:rPr>
          <w:rFonts w:ascii="Times New Roman" w:hAnsi="Times New Roman"/>
        </w:rPr>
      </w:pPr>
      <w:r>
        <w:rPr>
          <w:rFonts w:ascii="Times New Roman" w:hAnsi="Times New Roman"/>
        </w:rPr>
        <w:t>[1:45 1:45] Changed</w:t>
        <w:tab/>
        <w:t>"Obligations," to "Obligations of Pledging Group,"</w:t>
      </w:r>
    </w:p>
    <w:p>
      <w:pPr>
        <w:pStyle w:val="Normal"/>
        <w:bidi w:val="0"/>
        <w:spacing w:lineRule="atLeast" w:line="240"/>
        <w:jc w:val="start"/>
        <w:rPr>
          <w:rFonts w:ascii="Times New Roman" w:hAnsi="Times New Roman"/>
        </w:rPr>
      </w:pPr>
      <w:r>
        <w:rPr>
          <w:rFonts w:ascii="Times New Roman" w:hAnsi="Times New Roman"/>
        </w:rPr>
        <w:t>[1:45 1:45] Changed</w:t>
        <w:tab/>
        <w:t>"against, all" to "against, (a) all"</w:t>
      </w:r>
    </w:p>
    <w:p>
      <w:pPr>
        <w:pStyle w:val="Normal"/>
        <w:bidi w:val="0"/>
        <w:spacing w:lineRule="atLeast" w:line="240"/>
        <w:jc w:val="start"/>
        <w:rPr>
          <w:rFonts w:ascii="Times New Roman" w:hAnsi="Times New Roman"/>
        </w:rPr>
      </w:pPr>
      <w:r>
        <w:rPr>
          <w:rFonts w:ascii="Times New Roman" w:hAnsi="Times New Roman"/>
        </w:rPr>
        <w:t>[1:45 1:45] Changed</w:t>
        <w:tab/>
        <w:t>"foregoing    ...    member of" to "foregoing    ...    member of"</w:t>
      </w:r>
    </w:p>
    <w:p>
      <w:pPr>
        <w:pStyle w:val="Normal"/>
        <w:bidi w:val="0"/>
        <w:spacing w:lineRule="atLeast" w:line="240"/>
        <w:jc w:val="start"/>
        <w:rPr>
          <w:rFonts w:ascii="Times New Roman" w:hAnsi="Times New Roman"/>
        </w:rPr>
      </w:pPr>
      <w:r>
        <w:rPr>
          <w:rFonts w:ascii="Times New Roman" w:hAnsi="Times New Roman"/>
        </w:rPr>
        <w:t>[1:45 1:45] Changed</w:t>
        <w:tab/>
        <w:t>"Assurance." to "Assurance    ...    interests."</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CG Times">
    <w:charset w:val="01" w:characterSet="utf-8"/>
    <w:family w:val="roman"/>
    <w:pitch w:val="variable"/>
  </w:font>
  <w:font w:name="Arial Narro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120"/>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17</w:t>
    </w:r>
    <w:r>
      <w:rPr>
        <w:rStyle w:val="PageNumber"/>
        <w:rFonts w:ascii="Times New Roman" w:hAnsi="Times New Roman"/>
      </w:rPr>
      <w:fldChar w:fldCharType="end"/>
    </w:r>
  </w:p>
  <w:p>
    <w:pPr>
      <w:pStyle w:val="Footer"/>
      <w:bidi w:val="0"/>
      <w:jc w:val="start"/>
      <w:rPr>
        <w:rStyle w:val="PageNumber"/>
        <w:rFonts w:ascii="Times New Roman" w:hAnsi="Times New Roman"/>
        <w:sz w:val="12"/>
      </w:rPr>
    </w:pPr>
    <w:bookmarkStart w:id="1" w:name="DocName"/>
    <w:bookmarkEnd w:id="1"/>
    <w:r>
      <w:rPr>
        <w:rStyle w:val="PageNumber"/>
        <w:rFonts w:ascii="Times New Roman" w:hAnsi="Times New Roman"/>
        <w:sz w:val="12"/>
      </w:rPr>
      <w:fldChar w:fldCharType="begin"/>
    </w:r>
    <w:r>
      <w:rPr>
        <w:rStyle w:val="PageNumber"/>
        <w:sz w:val="12"/>
        <w:rFonts w:ascii="Times New Roman" w:hAnsi="Times New Roman"/>
      </w:rPr>
      <w:instrText xml:space="preserve"> FILENAME \p </w:instrText>
    </w:r>
    <w:r>
      <w:rPr>
        <w:rStyle w:val="PageNumber"/>
        <w:sz w:val="12"/>
        <w:rFonts w:ascii="Times New Roman" w:hAnsi="Times New Roman"/>
      </w:rPr>
      <w:fldChar w:fldCharType="separate"/>
    </w:r>
    <w:r>
      <w:rPr>
        <w:rStyle w:val="PageNumber"/>
        <w:sz w:val="12"/>
        <w:rFonts w:ascii="Times New Roman" w:hAnsi="Times New Roman"/>
      </w:rPr>
      <w:t>/mnt/main-storage/datasets/enron-docs/doc/MASTER_NETTING_AGREEMENT_CREDIT_SUPPORT_ANNEX_B_RED.DOC</w:t>
    </w:r>
    <w:r>
      <w:rPr>
        <w:rStyle w:val="PageNumber"/>
        <w:sz w:val="12"/>
        <w:rFonts w:ascii="Times New Roman" w:hAnsi="Times New Roman"/>
      </w:rPr>
      <w:fldChar w:fldCharType="end"/>
    </w:r>
  </w:p>
  <w:p>
    <w:pPr>
      <w:pStyle w:val="Footer"/>
      <w:bidi w:val="0"/>
      <w:jc w:val="start"/>
      <w:rPr>
        <w:rStyle w:val="PageNumber"/>
        <w:rFonts w:ascii="Times New Roman" w:hAnsi="Times New Roman"/>
        <w:sz w:val="12"/>
      </w:rPr>
    </w:pPr>
    <w:r>
      <w:rPr>
        <w:rFonts w:ascii="Times New Roman" w:hAnsi="Times New Roman"/>
        <w:sz w:val="12"/>
      </w:rPr>
    </w:r>
    <w:bookmarkStart w:id="2" w:name="DateTime"/>
    <w:bookmarkStart w:id="3" w:name="DateTime"/>
    <w:bookmarkEnd w:id="3"/>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120"/>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17</w:t>
    </w:r>
    <w:r>
      <w:rPr>
        <w:rStyle w:val="PageNumber"/>
        <w:rFonts w:ascii="Times New Roman" w:hAnsi="Times New Roman"/>
      </w:rPr>
      <w:fldChar w:fldCharType="end"/>
    </w:r>
  </w:p>
  <w:p>
    <w:pPr>
      <w:pStyle w:val="Footer"/>
      <w:bidi w:val="0"/>
      <w:jc w:val="start"/>
      <w:rPr>
        <w:rStyle w:val="PageNumber"/>
        <w:rFonts w:ascii="Times New Roman" w:hAnsi="Times New Roman"/>
        <w:sz w:val="12"/>
      </w:rPr>
    </w:pPr>
    <w:bookmarkStart w:id="4" w:name="DocName"/>
    <w:bookmarkEnd w:id="4"/>
    <w:r>
      <w:rPr>
        <w:rStyle w:val="PageNumber"/>
        <w:rFonts w:ascii="Times New Roman" w:hAnsi="Times New Roman"/>
        <w:sz w:val="12"/>
      </w:rPr>
      <w:fldChar w:fldCharType="begin"/>
    </w:r>
    <w:r>
      <w:rPr>
        <w:rStyle w:val="PageNumber"/>
        <w:sz w:val="12"/>
        <w:rFonts w:ascii="Times New Roman" w:hAnsi="Times New Roman"/>
      </w:rPr>
      <w:instrText xml:space="preserve"> FILENAME \p </w:instrText>
    </w:r>
    <w:r>
      <w:rPr>
        <w:rStyle w:val="PageNumber"/>
        <w:sz w:val="12"/>
        <w:rFonts w:ascii="Times New Roman" w:hAnsi="Times New Roman"/>
      </w:rPr>
      <w:fldChar w:fldCharType="separate"/>
    </w:r>
    <w:r>
      <w:rPr>
        <w:rStyle w:val="PageNumber"/>
        <w:sz w:val="12"/>
        <w:rFonts w:ascii="Times New Roman" w:hAnsi="Times New Roman"/>
      </w:rPr>
      <w:t>/mnt/main-storage/datasets/enron-docs/doc/MASTER_NETTING_AGREEMENT_CREDIT_SUPPORT_ANNEX_B_RED.DOC</w:t>
    </w:r>
    <w:r>
      <w:rPr>
        <w:rStyle w:val="PageNumber"/>
        <w:sz w:val="12"/>
        <w:rFonts w:ascii="Times New Roman" w:hAnsi="Times New Roman"/>
      </w:rPr>
      <w:fldChar w:fldCharType="end"/>
    </w:r>
  </w:p>
  <w:p>
    <w:pPr>
      <w:pStyle w:val="Footer"/>
      <w:bidi w:val="0"/>
      <w:jc w:val="start"/>
      <w:rPr>
        <w:rStyle w:val="PageNumber"/>
        <w:rFonts w:ascii="Times New Roman" w:hAnsi="Times New Roman"/>
        <w:sz w:val="12"/>
      </w:rPr>
    </w:pPr>
    <w:r>
      <w:rPr>
        <w:rFonts w:ascii="Times New Roman" w:hAnsi="Times New Roman"/>
        <w:sz w:val="12"/>
      </w:rPr>
    </w:r>
    <w:bookmarkStart w:id="5" w:name="DateTime"/>
    <w:bookmarkStart w:id="6" w:name="DateTime"/>
    <w:bookmarkEnd w:id="6"/>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240" w:after="240"/>
      <w:jc w:val="center"/>
    </w:pPr>
    <w:rPr>
      <w:caps/>
      <w:sz w:val="20"/>
      <w:u w:val="single"/>
    </w:rPr>
  </w:style>
  <w:style w:type="paragraph" w:styleId="Heading2">
    <w:name w:val="heading 2"/>
    <w:basedOn w:val="Heading"/>
    <w:qFormat/>
    <w:pPr>
      <w:spacing w:lineRule="auto" w:line="360" w:before="240" w:after="120"/>
      <w:ind w:firstLine="360"/>
      <w:jc w:val="both"/>
    </w:pPr>
    <w:rPr>
      <w:sz w:val="20"/>
    </w:rPr>
  </w:style>
  <w:style w:type="paragraph" w:styleId="Heading3">
    <w:name w:val="heading 3"/>
    <w:basedOn w:val="Heading"/>
    <w:qFormat/>
    <w:pPr>
      <w:spacing w:lineRule="auto" w:line="360" w:before="240" w:after="120"/>
      <w:ind w:firstLine="720"/>
      <w:jc w:val="both"/>
    </w:pPr>
    <w:rPr>
      <w:sz w:val="20"/>
    </w:rPr>
  </w:style>
  <w:style w:type="paragraph" w:styleId="Heading4">
    <w:name w:val="heading 4"/>
    <w:basedOn w:val="Heading"/>
    <w:qFormat/>
    <w:pPr>
      <w:spacing w:lineRule="auto" w:line="360" w:before="240" w:after="120"/>
      <w:ind w:firstLine="1080"/>
      <w:jc w:val="both"/>
    </w:pPr>
    <w:rPr>
      <w:sz w:val="20"/>
    </w:rPr>
  </w:style>
  <w:style w:type="paragraph" w:styleId="Heading5">
    <w:name w:val="heading 5"/>
    <w:basedOn w:val="Heading"/>
    <w:qFormat/>
    <w:pPr>
      <w:spacing w:lineRule="auto" w:line="360" w:before="240" w:after="120"/>
      <w:ind w:firstLine="1440"/>
      <w:jc w:val="both"/>
    </w:pPr>
    <w:rPr>
      <w:sz w:val="20"/>
    </w:rPr>
  </w:style>
  <w:style w:type="paragraph" w:styleId="Heading6">
    <w:name w:val="heading 6"/>
    <w:basedOn w:val="Heading"/>
    <w:qFormat/>
    <w:pPr>
      <w:widowControl w:val="false"/>
      <w:tabs>
        <w:tab w:val="clear" w:pos="720"/>
        <w:tab w:val="left" w:pos="0" w:leader="none"/>
      </w:tabs>
      <w:spacing w:before="240" w:after="60"/>
      <w:ind w:hanging="720" w:start="4320"/>
    </w:pPr>
    <w:rPr>
      <w:i/>
      <w:sz w:val="22"/>
    </w:rPr>
  </w:style>
  <w:style w:type="paragraph" w:styleId="Heading7">
    <w:name w:val="heading 7"/>
    <w:basedOn w:val="Heading"/>
    <w:qFormat/>
    <w:pPr>
      <w:widowControl w:val="false"/>
      <w:tabs>
        <w:tab w:val="clear" w:pos="720"/>
        <w:tab w:val="left" w:pos="0" w:leader="none"/>
      </w:tabs>
      <w:spacing w:before="240" w:after="60"/>
      <w:ind w:hanging="720" w:start="5040"/>
    </w:pPr>
    <w:rPr>
      <w:rFonts w:ascii="Arial" w:hAnsi="Arial"/>
      <w:sz w:val="20"/>
    </w:rPr>
  </w:style>
  <w:style w:type="paragraph" w:styleId="Heading8">
    <w:name w:val="heading 8"/>
    <w:basedOn w:val="Heading"/>
    <w:qFormat/>
    <w:pPr>
      <w:widowControl w:val="false"/>
      <w:tabs>
        <w:tab w:val="clear" w:pos="720"/>
        <w:tab w:val="left" w:pos="0" w:leader="none"/>
      </w:tabs>
      <w:spacing w:before="240" w:after="60"/>
      <w:ind w:hanging="720" w:start="5760"/>
    </w:pPr>
    <w:rPr>
      <w:rFonts w:ascii="Arial" w:hAnsi="Arial"/>
      <w:i/>
      <w:sz w:val="20"/>
    </w:rPr>
  </w:style>
  <w:style w:type="paragraph" w:styleId="Heading9">
    <w:name w:val="heading 9"/>
    <w:basedOn w:val="Heading"/>
    <w:qFormat/>
    <w:pPr>
      <w:widowControl w:val="false"/>
      <w:tabs>
        <w:tab w:val="clear" w:pos="720"/>
        <w:tab w:val="left" w:pos="0" w:leader="none"/>
      </w:tabs>
      <w:spacing w:before="240" w:after="60"/>
      <w:ind w:hanging="720" w:start="6480"/>
    </w:pPr>
    <w:rPr>
      <w:rFonts w:ascii="Arial" w:hAnsi="Arial"/>
      <w:b/>
      <w:i/>
      <w:sz w:val="18"/>
    </w:rPr>
  </w:style>
  <w:style w:type="character" w:styleId="DefaultParagraphFont">
    <w:name w:val="Default Paragraph Font"/>
    <w:qFormat/>
    <w:rPr>
      <w:sz w:val="20"/>
    </w:rPr>
  </w:style>
  <w:style w:type="character" w:styleId="PageNumber">
    <w:name w:val="page number"/>
    <w:basedOn w:val="DefaultParagraphFont"/>
    <w:rPr>
      <w:sz w:val="22"/>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tabs>
        <w:tab w:val="clear" w:pos="720"/>
        <w:tab w:val="center" w:pos="4320" w:leader="none"/>
        <w:tab w:val="right" w:pos="8640" w:leader="none"/>
      </w:tabs>
    </w:pPr>
    <w:rPr>
      <w:sz w:val="16"/>
    </w:rPr>
  </w:style>
  <w:style w:type="paragraph" w:styleId="PASSParawIndent">
    <w:name w:val="PA S/S Para w/Indent"/>
    <w:qFormat/>
    <w:pPr>
      <w:widowControl w:val="false"/>
      <w:bidi w:val="0"/>
      <w:spacing w:before="240" w:after="0"/>
      <w:ind w:firstLine="720"/>
      <w:jc w:val="both"/>
    </w:pPr>
    <w:rPr>
      <w:rFonts w:ascii="CG Times" w:hAnsi="CG Times" w:eastAsia="Liberation Sans" w:cs="NotoSans NF"/>
      <w:color w:val="auto"/>
      <w:kern w:val="2"/>
      <w:sz w:val="20"/>
      <w:szCs w:val="24"/>
      <w:lang w:val="en-CA" w:eastAsia="zh-CN" w:bidi="hi-IN"/>
    </w:rPr>
  </w:style>
  <w:style w:type="paragraph" w:styleId="Header">
    <w:name w:val="header"/>
    <w:basedOn w:val="HeaderandFooter"/>
    <w:pPr>
      <w:tabs>
        <w:tab w:val="clear" w:pos="720"/>
        <w:tab w:val="center" w:pos="4320" w:leader="none"/>
        <w:tab w:val="right" w:pos="8640" w:leader="none"/>
      </w:tabs>
    </w:pPr>
    <w:rPr>
      <w:sz w:val="20"/>
    </w:rPr>
  </w:style>
  <w:style w:type="paragraph" w:styleId="BodyTextIndent">
    <w:name w:val="Body Text Indent"/>
    <w:basedOn w:val="BodyText"/>
    <w:next w:val="BodyText"/>
    <w:pPr>
      <w:spacing w:before="0" w:after="240"/>
      <w:ind w:hanging="0" w:start="1440"/>
    </w:pPr>
    <w:rPr/>
  </w:style>
  <w:style w:type="paragraph" w:styleId="EndnoteText">
    <w:name w:val="endnote text"/>
    <w:basedOn w:val="Normal"/>
    <w:pPr>
      <w:spacing w:before="0" w:after="120"/>
    </w:pPr>
    <w:rPr>
      <w:sz w:val="20"/>
    </w:rPr>
  </w:style>
  <w:style w:type="paragraph" w:styleId="BodyTextFirstIndent5">
    <w:name w:val="Body Text First Indent,(.5&quot;)"/>
    <w:basedOn w:val="BodyText"/>
    <w:qFormat/>
    <w:pPr>
      <w:spacing w:before="0" w:after="120"/>
      <w:ind w:firstLine="210"/>
    </w:pPr>
    <w:rPr>
      <w:sz w:val="20"/>
    </w:rPr>
  </w:style>
  <w:style w:type="paragraph" w:styleId="BodyTextIndent2">
    <w:name w:val="Body Text Indent 2"/>
    <w:qFormat/>
    <w:pPr>
      <w:widowControl w:val="false"/>
      <w:bidi w:val="0"/>
      <w:spacing w:before="240" w:after="0"/>
      <w:ind w:hanging="0" w:start="360"/>
      <w:jc w:val="both"/>
    </w:pPr>
    <w:rPr>
      <w:rFonts w:ascii="Arial Narrow" w:hAnsi="Arial Narrow" w:eastAsia="Liberation Sans" w:cs="NotoSans NF"/>
      <w:color w:val="auto"/>
      <w:kern w:val="2"/>
      <w:sz w:val="18"/>
      <w:szCs w:val="24"/>
      <w:lang w:val="en-CA" w:eastAsia="zh-CN" w:bidi="hi-IN"/>
    </w:rPr>
  </w:style>
  <w:style w:type="paragraph" w:styleId="BodyText2">
    <w:name w:val="Body Text 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jc w:val="both"/>
    </w:pPr>
    <w:rPr>
      <w:rFonts w:ascii="Liberation Serif" w:hAnsi="Liberation Serif" w:eastAsia="Liberation Sans" w:cs="NotoSans NF"/>
      <w:color w:val="000000"/>
      <w:kern w:val="2"/>
      <w:sz w:val="22"/>
      <w:szCs w:val="24"/>
      <w:lang w:val="en-CA" w:eastAsia="zh-CN" w:bidi="hi-IN"/>
    </w:rPr>
  </w:style>
  <w:style w:type="paragraph" w:styleId="BodyTextIndent3">
    <w:name w:val="Body Text Indent 3"/>
    <w:qFormat/>
    <w:pPr>
      <w:widowControl w:val="false"/>
      <w:bidi w:val="0"/>
      <w:spacing w:before="240" w:after="0"/>
      <w:ind w:hanging="0" w:start="360"/>
      <w:jc w:val="both"/>
    </w:pPr>
    <w:rPr>
      <w:rFonts w:ascii="Liberation Serif" w:hAnsi="Liberation Serif" w:eastAsia="Liberation Sans" w:cs="NotoSans NF"/>
      <w:color w:val="auto"/>
      <w:kern w:val="2"/>
      <w:sz w:val="24"/>
      <w:szCs w:val="24"/>
      <w:lang w:val="en-CA" w:eastAsia="zh-CN" w:bidi="hi-IN"/>
    </w:rPr>
  </w:style>
  <w:style w:type="paragraph" w:styleId="BodyText3">
    <w:name w:val="Body Text 3"/>
    <w:qFormat/>
    <w:pPr>
      <w:widowControl w:val="false"/>
      <w:tabs>
        <w:tab w:val="clear" w:pos="720"/>
        <w:tab w:val="left" w:pos="0" w:leader="none"/>
      </w:tabs>
      <w:suppressAutoHyphens w:val="true"/>
      <w:bidi w:val="0"/>
      <w:jc w:val="both"/>
    </w:pPr>
    <w:rPr>
      <w:rFonts w:ascii="Liberation Serif" w:hAnsi="Liberation Serif" w:eastAsia="Liberation Sans" w:cs="NotoSans NF"/>
      <w:color w:val="auto"/>
      <w:kern w:val="2"/>
      <w:sz w:val="24"/>
      <w:szCs w:val="24"/>
      <w:lang w:val="en-CA" w:eastAsia="zh-CN" w:bidi="hi-IN"/>
    </w:rPr>
  </w:style>
  <w:style w:type="paragraph" w:styleId="Standard3L1">
    <w:name w:val="Standard3_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tandard3L2">
    <w:name w:val="Standard3_L2"/>
    <w:basedOn w:val="Standard3L1"/>
    <w:qFormat/>
    <w:pPr>
      <w:tabs>
        <w:tab w:val="clear" w:pos="720"/>
        <w:tab w:val="left" w:pos="360" w:leader="none"/>
        <w:tab w:val="left" w:pos="1440" w:leader="none"/>
      </w:tabs>
      <w:spacing w:before="0" w:after="240"/>
      <w:ind w:hanging="720" w:start="1440"/>
      <w:jc w:val="both"/>
    </w:pPr>
    <w:rPr/>
  </w:style>
  <w:style w:type="paragraph" w:styleId="Standard3L3">
    <w:name w:val="Standard3_L3"/>
    <w:basedOn w:val="Standard3L2"/>
    <w:qFormat/>
    <w:pPr>
      <w:spacing w:before="0" w:after="240"/>
      <w:ind w:hanging="720" w:start="1440"/>
      <w:jc w:val="both"/>
    </w:pPr>
    <w:rPr/>
  </w:style>
  <w:style w:type="paragraph" w:styleId="Standard3L4">
    <w:name w:val="Standard3_L4"/>
    <w:basedOn w:val="Standard3L3"/>
    <w:qFormat/>
    <w:pPr>
      <w:spacing w:before="0" w:after="240"/>
      <w:ind w:hanging="720" w:start="1440"/>
      <w:jc w:val="both"/>
    </w:pPr>
    <w:rPr/>
  </w:style>
  <w:style w:type="paragraph" w:styleId="Standard3L5">
    <w:name w:val="Standard3_L5"/>
    <w:basedOn w:val="Standard3L4"/>
    <w:qFormat/>
    <w:pPr>
      <w:spacing w:before="0" w:after="240"/>
      <w:ind w:hanging="720" w:start="1440"/>
      <w:jc w:val="both"/>
    </w:pPr>
    <w:rPr/>
  </w:style>
  <w:style w:type="paragraph" w:styleId="Standard3L6">
    <w:name w:val="Standard3_L6"/>
    <w:basedOn w:val="Standard3L5"/>
    <w:qFormat/>
    <w:pPr>
      <w:spacing w:before="0" w:after="240"/>
      <w:ind w:hanging="720" w:start="1440"/>
      <w:jc w:val="both"/>
    </w:pPr>
    <w:rPr/>
  </w:style>
  <w:style w:type="paragraph" w:styleId="Standard3L7">
    <w:name w:val="Standard3_L7"/>
    <w:basedOn w:val="Standard3L6"/>
    <w:qFormat/>
    <w:pPr>
      <w:spacing w:before="0" w:after="240"/>
      <w:ind w:hanging="720" w:start="1440"/>
      <w:jc w:val="both"/>
    </w:pPr>
    <w:rPr/>
  </w:style>
  <w:style w:type="paragraph" w:styleId="Standard3L8">
    <w:name w:val="Standard3_L8"/>
    <w:basedOn w:val="Standard3L7"/>
    <w:qFormat/>
    <w:pPr>
      <w:spacing w:before="0" w:after="240"/>
      <w:ind w:hanging="720" w:start="1440"/>
      <w:jc w:val="both"/>
    </w:pPr>
    <w:rPr/>
  </w:style>
  <w:style w:type="paragraph" w:styleId="Standard3L9">
    <w:name w:val="Standard3_L9"/>
    <w:basedOn w:val="Standard3L8"/>
    <w:qFormat/>
    <w:pPr>
      <w:spacing w:before="0" w:after="240"/>
      <w:ind w:hanging="720" w:start="1440"/>
      <w:jc w:val="both"/>
    </w:pPr>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5">
    <w:name w:val="OmniPage #5"/>
    <w:qFormat/>
    <w:pPr>
      <w:widowControl w:val="false"/>
      <w:bidi w:val="0"/>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7201</Words>
  <CharactersWithSpaces>41050</CharactersWithSpaces>
  <Company>Morgan Stanley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2001-10-18T13:48:00Z</dcterms:created>
  <dc:creator>formosos</dc:creator>
  <dc:description/>
  <dc:language>en-CA</dc:language>
  <cp:lastModifiedBy/>
  <cp:lastPrinted>2001-10-10T17:23:00Z</cp:lastPrinted>
  <dcterms:modified xsi:type="dcterms:W3CDTF">2001-10-18T14:01:00Z</dcterms:modified>
  <cp:revision>4</cp:revision>
  <dc:subject/>
  <dc:title>COLLATERAL ANNEX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