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sz w:val="22"/>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sz w:val="22"/>
        </w:rPr>
        <w:tab/>
      </w:r>
    </w:p>
    <w:p>
      <w:pPr>
        <w:pStyle w:val="Normal"/>
        <w:tabs>
          <w:tab w:val="clear" w:pos="720"/>
          <w:tab w:val="left" w:pos="6480" w:leader="none"/>
        </w:tabs>
        <w:rPr>
          <w:b/>
          <w:sz w:val="22"/>
        </w:rPr>
      </w:pPr>
      <w:r>
        <w:rPr>
          <w:sz w:val="22"/>
        </w:rPr>
        <w:tab/>
      </w:r>
      <w:r>
        <w:rPr>
          <w:rFonts w:eastAsia="Symbol" w:cs="Symbol" w:ascii="Symbol" w:hAnsi="Symbol"/>
          <w:b/>
          <w:sz w:val="22"/>
        </w:rPr>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ind w:end="0"/>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p>
    <w:p>
      <w:pPr>
        <w:pStyle w:val="BodyText"/>
        <w:rPr/>
      </w:pP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pPr>
      <w:r>
        <w:rPr/>
      </w:r>
    </w:p>
    <w:p>
      <w:pPr>
        <w:pStyle w:val="Normal"/>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(COLLAR)</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&lt;&lt;DealDate&gt;&gt;</w:t>
      </w:r>
    </w:p>
    <w:p>
      <w:pPr>
        <w:pStyle w:val="Normal"/>
        <w:tabs>
          <w:tab w:val="clear" w:pos="720"/>
          <w:tab w:val="left" w:pos="2160" w:leader="none"/>
          <w:tab w:val="left" w:pos="6480" w:leader="none"/>
        </w:tabs>
        <w:ind w:start="-720" w:end="0"/>
        <w:rPr>
          <w:sz w:val="22"/>
        </w:rPr>
      </w:pPr>
      <w:r>
        <w:rPr>
          <w:sz w:val="22"/>
        </w:rPr>
        <w:t>To:</w:t>
        <w:tab/>
        <w:t>&lt;&lt;CounterpartyName&gt;&gt; ("Counterparty")</w:t>
      </w:r>
    </w:p>
    <w:p>
      <w:pPr>
        <w:pStyle w:val="Normal"/>
        <w:tabs>
          <w:tab w:val="clear" w:pos="720"/>
          <w:tab w:val="left" w:pos="2160" w:leader="none"/>
          <w:tab w:val="left" w:pos="6480" w:leader="none"/>
        </w:tabs>
        <w:ind w:start="-720" w:end="0"/>
        <w:rPr>
          <w:sz w:val="22"/>
        </w:rPr>
      </w:pPr>
      <w:r>
        <w:rPr>
          <w:sz w:val="22"/>
        </w:rPr>
        <w:t>Attention:</w:t>
        <w:tab/>
        <w:t>&lt;&lt;CounterpartyContact&gt;&gt;</w:t>
      </w:r>
    </w:p>
    <w:p>
      <w:pPr>
        <w:pStyle w:val="Normal"/>
        <w:tabs>
          <w:tab w:val="clear" w:pos="720"/>
          <w:tab w:val="left" w:pos="2160" w:leader="none"/>
          <w:tab w:val="left" w:pos="6480" w:leader="none"/>
        </w:tabs>
        <w:ind w:start="-720" w:end="0"/>
        <w:rPr>
          <w:sz w:val="22"/>
        </w:rPr>
      </w:pPr>
      <w:r>
        <w:rPr>
          <w:sz w:val="22"/>
        </w:rPr>
        <w:t>Fax No.:</w:t>
        <w:tab/>
        <w:t>&lt;&lt;CounterpartyFax&gt;&gt;</w:t>
      </w:r>
    </w:p>
    <w:p>
      <w:pPr>
        <w:pStyle w:val="Normal"/>
        <w:tabs>
          <w:tab w:val="clear" w:pos="720"/>
          <w:tab w:val="left" w:pos="2160" w:leader="none"/>
          <w:tab w:val="left" w:pos="6480" w:leader="none"/>
        </w:tabs>
        <w:ind w:start="-720" w:end="0"/>
        <w:rPr>
          <w:sz w:val="22"/>
        </w:rPr>
      </w:pPr>
      <w:r>
        <w:rPr>
          <w:sz w:val="22"/>
        </w:rPr>
        <w:t>From:</w:t>
        <w:tab/>
        <w:t>&lt;&lt;EnronEntityNameCode&gt;&gt;</w:t>
      </w:r>
    </w:p>
    <w:p>
      <w:pPr>
        <w:pStyle w:val="Normal"/>
        <w:tabs>
          <w:tab w:val="clear" w:pos="720"/>
          <w:tab w:val="left" w:pos="2160" w:leader="none"/>
          <w:tab w:val="left" w:pos="6480" w:leader="none"/>
        </w:tabs>
        <w:ind w:start="-720" w:end="0"/>
        <w:rPr>
          <w:sz w:val="22"/>
        </w:rPr>
      </w:pPr>
      <w:r>
        <w:rPr>
          <w:sz w:val="22"/>
        </w:rPr>
        <w:t>Re:</w:t>
        <w:tab/>
        <w:t>Costless Collar &lt;&lt;DealNumber&gt;&gt;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Reference is made to the Master Agreement dated as of &lt;&lt;FinancialMasterDate&gt;&gt; (the “Agreement”) between &lt;&lt;CounterpartyName&gt;&gt; (“Counterparty”) and &lt;&lt;EnronEntityNameCode&gt;&gt;, pursuant to which this Conformation is delivered and to which the Transaction contemplated herein is subject.</w:t>
      </w:r>
    </w:p>
    <w:p>
      <w:pPr>
        <w:pStyle w:val="BodyTextIndent"/>
        <w:rPr>
          <w:sz w:val="22"/>
        </w:rPr>
      </w:pPr>
      <w:r>
        <w:rPr>
          <w:sz w:val="22"/>
        </w:rPr>
      </w:r>
    </w:p>
    <w:p>
      <w:pPr>
        <w:pStyle w:val="BodyTextIndent"/>
        <w:rPr/>
      </w:pPr>
      <w:r>
        <w:rPr>
          <w:sz w:val="22"/>
        </w:rPr>
        <w:tab/>
        <w:t xml:space="preserve">This is a confirmation of the following Transaction entered into with you pursuant to a telephone conversation on </w:t>
      </w:r>
      <w:r>
        <w:rPr>
          <w:i/>
          <w:sz w:val="22"/>
        </w:rPr>
        <w:t>&lt;&lt;DealDate&gt;&gt;</w:t>
      </w:r>
      <w:r>
        <w:rPr>
          <w:sz w:val="22"/>
        </w:rPr>
        <w:t xml:space="preserve"> between </w:t>
      </w:r>
      <w:r>
        <w:rPr>
          <w:i/>
          <w:sz w:val="22"/>
        </w:rPr>
        <w:t>&lt;&lt;CounterpartyContact&gt;&gt;</w:t>
      </w:r>
      <w:r>
        <w:rPr>
          <w:sz w:val="22"/>
        </w:rPr>
        <w:t xml:space="preserve"> and </w:t>
      </w:r>
      <w:r>
        <w:rPr>
          <w:i/>
          <w:sz w:val="22"/>
        </w:rPr>
        <w:t>&lt;&lt;Originator&gt;&gt;</w:t>
      </w:r>
      <w:r>
        <w:rPr>
          <w:sz w:val="22"/>
        </w:rPr>
        <w:t>:</w:t>
      </w:r>
    </w:p>
    <w:p>
      <w:pPr>
        <w:pStyle w:val="BodyTextIndent"/>
        <w:rPr>
          <w:sz w:val="22"/>
        </w:rPr>
      </w:pPr>
      <w:r>
        <w:rPr>
          <w:sz w:val="22"/>
        </w:rPr>
      </w:r>
    </w:p>
    <w:p>
      <w:pPr>
        <w:pStyle w:val="BodyTextIndent"/>
        <w:rPr>
          <w:b/>
          <w:sz w:val="22"/>
        </w:rPr>
      </w:pPr>
      <w:r>
        <w:rPr>
          <w:b/>
          <w:sz w:val="22"/>
        </w:rPr>
        <w:t>General Terms:</w:t>
      </w:r>
    </w:p>
    <w:p>
      <w:pPr>
        <w:pStyle w:val="BodyTextIndent"/>
        <w:tabs>
          <w:tab w:val="left" w:pos="90" w:leader="none"/>
          <w:tab w:val="left" w:pos="216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Notional Quantity Per</w:t>
      </w:r>
    </w:p>
    <w:p>
      <w:pPr>
        <w:pStyle w:val="BodyTextIndent"/>
        <w:tabs>
          <w:tab w:val="left" w:pos="90" w:leader="none"/>
          <w:tab w:val="left" w:pos="2160" w:leader="none"/>
          <w:tab w:val="left" w:pos="4140" w:leader="none"/>
          <w:tab w:val="left" w:pos="4320" w:leader="none"/>
          <w:tab w:val="left" w:pos="6480" w:leader="none"/>
        </w:tabs>
        <w:ind w:hanging="5040" w:start="4320" w:end="0"/>
        <w:rPr>
          <w:sz w:val="22"/>
        </w:rPr>
      </w:pPr>
      <w:r>
        <w:rPr>
          <w:sz w:val="22"/>
        </w:rPr>
        <w:t>Determination Period:</w:t>
        <w:tab/>
        <w:tab/>
        <w:t>&lt;&lt;QtyPerPeriod&gt;&gt;</w:t>
      </w:r>
    </w:p>
    <w:p>
      <w:pPr>
        <w:pStyle w:val="BodyTextIndent"/>
        <w:tabs>
          <w:tab w:val="left" w:pos="90" w:leader="none"/>
          <w:tab w:val="left" w:pos="2160" w:leader="none"/>
          <w:tab w:val="left" w:pos="4140" w:leader="none"/>
          <w:tab w:val="left" w:pos="4320" w:leader="none"/>
          <w:tab w:val="left" w:pos="6480" w:leader="none"/>
        </w:tabs>
        <w:ind w:hanging="5040" w:start="432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5040" w:start="4320" w:end="0"/>
        <w:rPr>
          <w:sz w:val="22"/>
        </w:rPr>
      </w:pPr>
      <w:r>
        <w:rPr>
          <w:sz w:val="22"/>
        </w:rPr>
        <w:t>Total Notional Quantity:</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t>Commodity:</w:t>
        <w:tab/>
        <w:tab/>
        <w:t>&lt;&lt;CommodityName&gt;&gt;</w:t>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t>Commodity Unit:</w:t>
        <w:tab/>
        <w:tab/>
        <w:t>&lt;&lt;UnitOfMeasure&gt;&gt;</w:t>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t>Trade Date:</w:t>
        <w:tab/>
        <w:tab/>
        <w:t>&lt;&lt;DealDate&gt;&gt;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t>Effective Date:</w:t>
        <w:tab/>
        <w:tab/>
        <w:t>&lt;&lt;TransStartDate&gt;&gt;`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t>Termination Date:</w:t>
        <w:tab/>
        <w:tab/>
        <w:t>&lt;&lt;TransStopDate&gt;&gt;</w:t>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720" w:start="0" w:end="-720"/>
        <w:rPr>
          <w:sz w:val="22"/>
        </w:rPr>
      </w:pPr>
      <w:r>
        <w:rPr>
          <w:sz w:val="22"/>
        </w:rPr>
        <w:t>Determination Period(s):</w:t>
        <w:tab/>
        <w:tab/>
        <w:t>&lt;&lt;DeterminationPeriod&gt;&gt;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b/>
          <w:sz w:val="22"/>
        </w:rPr>
        <w:t xml:space="preserve">Cap Amount Details:  </w:t>
      </w:r>
    </w:p>
    <w:p>
      <w:pPr>
        <w:pStyle w:val="BodyTextIndent"/>
        <w:tabs>
          <w:tab w:val="left" w:pos="90" w:leader="none"/>
          <w:tab w:val="left" w:pos="2160" w:leader="none"/>
          <w:tab w:val="left" w:pos="4140" w:leader="none"/>
          <w:tab w:val="left" w:pos="441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720" w:start="0" w:end="0"/>
        <w:rPr>
          <w:sz w:val="22"/>
        </w:rPr>
      </w:pPr>
      <w:r>
        <w:rPr>
          <w:sz w:val="22"/>
        </w:rPr>
        <w:t>Cap Seller:</w:t>
        <w:tab/>
        <w:tab/>
        <w:t>&lt;&lt;CapSeller&gt;&gt;</w:t>
      </w:r>
    </w:p>
    <w:p>
      <w:pPr>
        <w:pStyle w:val="BodyTextIndent"/>
        <w:tabs>
          <w:tab w:val="left" w:pos="90" w:leader="none"/>
          <w:tab w:val="left" w:pos="2160" w:leader="none"/>
          <w:tab w:val="left" w:pos="4140" w:leader="none"/>
          <w:tab w:val="left" w:pos="4410" w:leader="none"/>
          <w:tab w:val="left" w:pos="6480" w:leader="none"/>
        </w:tabs>
        <w:ind w:hanging="720" w:start="0" w:end="0"/>
        <w:rPr>
          <w:sz w:val="22"/>
        </w:rPr>
      </w:pPr>
      <w:r>
        <w:rPr>
          <w:sz w:val="22"/>
        </w:rPr>
        <w:t>(Cap Floating Price Payor)</w:t>
      </w:r>
    </w:p>
    <w:p>
      <w:pPr>
        <w:pStyle w:val="BodyTextIndent"/>
        <w:tabs>
          <w:tab w:val="left" w:pos="90" w:leader="none"/>
          <w:tab w:val="left" w:pos="2160" w:leader="none"/>
          <w:tab w:val="left" w:pos="4140" w:leader="none"/>
          <w:tab w:val="left" w:pos="441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720" w:start="0" w:end="0"/>
        <w:rPr/>
      </w:pPr>
      <w:r>
        <w:rPr>
          <w:sz w:val="22"/>
        </w:rPr>
        <w:t>Cap Strike Price:</w:t>
      </w:r>
      <w:r>
        <w:rPr>
          <w:sz w:val="22"/>
          <w:vertAlign w:val="superscript"/>
        </w:rPr>
        <w:t xml:space="preserve"> 1</w:t>
      </w:r>
      <w:r>
        <w:rPr>
          <w:sz w:val="22"/>
        </w:rPr>
        <w:tab/>
        <w:tab/>
        <w:t>U.S.$ &lt;&lt;CapPrice&gt;&gt;</w:t>
      </w:r>
    </w:p>
    <w:p>
      <w:pPr>
        <w:pStyle w:val="BodyTextIndent"/>
        <w:tabs>
          <w:tab w:val="left" w:pos="90" w:leader="none"/>
          <w:tab w:val="left" w:pos="2160" w:leader="none"/>
          <w:tab w:val="left" w:pos="4140" w:leader="none"/>
          <w:tab w:val="left" w:pos="4410" w:leader="none"/>
          <w:tab w:val="left" w:pos="6480" w:leader="none"/>
        </w:tabs>
        <w:ind w:hanging="5130" w:start="4410" w:end="0"/>
        <w:rPr>
          <w:b/>
          <w:sz w:val="22"/>
        </w:rPr>
      </w:pPr>
      <w:r>
        <w:rPr>
          <w:b/>
          <w:sz w:val="22"/>
        </w:rPr>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b/>
          <w:sz w:val="22"/>
        </w:rPr>
        <w:t xml:space="preserve">Floor Amount Details:  </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t>Floor Seller:</w:t>
        <w:tab/>
        <w:tab/>
        <w:t>&lt;&lt;FloorSeller&gt;&gt;</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t>(Floor Floating Price Payor)</w:t>
        <w:tab/>
        <w:tab/>
        <w:tab/>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5130" w:start="4410" w:end="0"/>
        <w:rPr/>
      </w:pPr>
      <w:r>
        <w:rPr>
          <w:sz w:val="22"/>
        </w:rPr>
        <w:t>Floor Strike Price:</w:t>
      </w:r>
      <w:r>
        <w:rPr>
          <w:sz w:val="22"/>
          <w:vertAlign w:val="superscript"/>
        </w:rPr>
        <w:t xml:space="preserve"> 1</w:t>
      </w:r>
      <w:r>
        <w:rPr>
          <w:sz w:val="22"/>
        </w:rPr>
        <w:tab/>
        <w:tab/>
        <w:t>U.S.$ &lt;&lt;FloorPrice&gt;&gt;</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t>Determination Period(s):</w:t>
        <w:tab/>
        <w:tab/>
        <w:t>&lt;&lt;DeterminationPeriod&gt;&gt;</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t>Floating Price:</w:t>
        <w:tab/>
        <w:tab/>
        <w:t>&lt;&lt;FloatPrice&gt;&gt;</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t>(Cap and Floor)</w:t>
      </w:r>
    </w:p>
    <w:p>
      <w:pPr>
        <w:pStyle w:val="BodyTextIndent"/>
        <w:tabs>
          <w:tab w:val="left" w:pos="90" w:leader="none"/>
          <w:tab w:val="left" w:pos="2160" w:leader="none"/>
          <w:tab w:val="left" w:pos="4140" w:leader="none"/>
          <w:tab w:val="left" w:pos="4410" w:leader="none"/>
          <w:tab w:val="left" w:pos="6480" w:leader="none"/>
        </w:tabs>
        <w:ind w:hanging="5130" w:start="441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Cash Settlement Amount:</w:t>
      </w:r>
      <w:r>
        <w:rPr>
          <w:sz w:val="22"/>
          <w:vertAlign w:val="superscript"/>
        </w:rPr>
        <w:t xml:space="preserve"> 2</w:t>
      </w:r>
      <w:r>
        <w:rPr>
          <w:sz w:val="22"/>
        </w:rPr>
        <w:tab/>
        <w:tab/>
        <w:t>On the applicable Payment Date, either the Cap Seller will pay the Cap Cash Settlement Amount or the Floor Seller will pay the Floor Cash Settlement Amount as follows:</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r>
    </w:p>
    <w:tbl>
      <w:tblPr>
        <w:tblW w:w="8838" w:type="dxa"/>
        <w:jc w:val="start"/>
        <w:tblInd w:w="0" w:type="dxa"/>
        <w:tblLayout w:type="fixed"/>
        <w:tblCellMar>
          <w:top w:w="0" w:type="dxa"/>
          <w:start w:w="108" w:type="dxa"/>
          <w:bottom w:w="0" w:type="dxa"/>
          <w:end w:w="108" w:type="dxa"/>
        </w:tblCellMar>
      </w:tblPr>
      <w:tblGrid>
        <w:gridCol w:w="4068"/>
        <w:gridCol w:w="4770"/>
      </w:tblGrid>
      <w:tr>
        <w:trPr/>
        <w:tc>
          <w:tcPr>
            <w:tcW w:w="406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Cap Cash Settlement</w:t>
            </w:r>
          </w:p>
          <w:p>
            <w:pPr>
              <w:pStyle w:val="BodyTextIndent"/>
              <w:tabs>
                <w:tab w:val="left" w:pos="90" w:leader="none"/>
                <w:tab w:val="left" w:pos="2160" w:leader="none"/>
                <w:tab w:val="left" w:pos="4140" w:leader="none"/>
                <w:tab w:val="left" w:pos="6480" w:leader="none"/>
              </w:tabs>
              <w:ind w:start="0" w:end="0"/>
              <w:rPr>
                <w:sz w:val="22"/>
              </w:rPr>
            </w:pPr>
            <w:r>
              <w:rPr>
                <w:sz w:val="22"/>
              </w:rPr>
              <w:t>Amount:</w:t>
            </w:r>
          </w:p>
        </w:tc>
        <w:tc>
          <w:tcPr>
            <w:tcW w:w="477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Amount payable by Cap Seller on the applicable Payment Date for such Determination Period which is the product of (i) the Notional Quantity per Determination Period and (ii) the excess, if any of the Floating Price over the Cap Strike Price in respect of such Determination Period.</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r>
          </w:p>
        </w:tc>
      </w:tr>
      <w:tr>
        <w:trPr/>
        <w:tc>
          <w:tcPr>
            <w:tcW w:w="406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770" w:type="dxa"/>
            <w:tcBorders/>
          </w:tcPr>
          <w:p>
            <w:pPr>
              <w:pStyle w:val="BodyTextIndent"/>
              <w:tabs>
                <w:tab w:val="clear" w:pos="2160"/>
                <w:tab w:val="left" w:pos="90" w:leader="none"/>
                <w:tab w:val="left" w:pos="1872" w:leader="none"/>
                <w:tab w:val="left" w:pos="4140" w:leader="none"/>
                <w:tab w:val="left" w:pos="6480" w:leader="none"/>
              </w:tabs>
              <w:ind w:start="0" w:end="0"/>
              <w:rPr>
                <w:sz w:val="22"/>
              </w:rPr>
            </w:pPr>
            <w:r>
              <w:rPr>
                <w:sz w:val="22"/>
              </w:rPr>
              <w:tab/>
              <w:tab/>
              <w:t>OR</w:t>
            </w:r>
          </w:p>
          <w:p>
            <w:pPr>
              <w:pStyle w:val="BodyTextIndent"/>
              <w:tabs>
                <w:tab w:val="clear" w:pos="2160"/>
                <w:tab w:val="left" w:pos="90" w:leader="none"/>
                <w:tab w:val="left" w:pos="1872" w:leader="none"/>
                <w:tab w:val="left" w:pos="4140" w:leader="none"/>
                <w:tab w:val="left" w:pos="6480" w:leader="none"/>
              </w:tabs>
              <w:ind w:start="0" w:end="0"/>
              <w:rPr>
                <w:sz w:val="22"/>
              </w:rPr>
            </w:pPr>
            <w:r>
              <w:rPr>
                <w:sz w:val="22"/>
              </w:rPr>
            </w:r>
          </w:p>
        </w:tc>
      </w:tr>
      <w:tr>
        <w:trPr/>
        <w:tc>
          <w:tcPr>
            <w:tcW w:w="406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t xml:space="preserve">Floor Cash Settlement </w:t>
            </w:r>
          </w:p>
          <w:p>
            <w:pPr>
              <w:pStyle w:val="BodyTextIndent"/>
              <w:tabs>
                <w:tab w:val="left" w:pos="90" w:leader="none"/>
                <w:tab w:val="left" w:pos="2160" w:leader="none"/>
                <w:tab w:val="left" w:pos="4140" w:leader="none"/>
                <w:tab w:val="left" w:pos="6480" w:leader="none"/>
              </w:tabs>
              <w:ind w:start="0" w:end="0"/>
              <w:rPr>
                <w:sz w:val="22"/>
              </w:rPr>
            </w:pPr>
            <w:r>
              <w:rPr>
                <w:sz w:val="22"/>
              </w:rPr>
              <w:t>Amount:</w:t>
            </w:r>
          </w:p>
        </w:tc>
        <w:tc>
          <w:tcPr>
            <w:tcW w:w="477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t>Amount payable by Floor Seller on the applicable Payment Date for such Determination Period which is the product of (i) the Notional Quantity per Determination Period and (ii) the excess, if any of the Floor Strike Price over the Floating Price in respect of such Determination Period.</w:t>
            </w:r>
          </w:p>
        </w:tc>
      </w:tr>
      <w:tr>
        <w:trPr/>
        <w:tc>
          <w:tcPr>
            <w:tcW w:w="406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77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6480" w:leader="none"/>
        </w:tabs>
        <w:ind w:hanging="4860" w:start="4140" w:end="0"/>
        <w:rPr>
          <w:sz w:val="22"/>
        </w:rPr>
      </w:pPr>
      <w:r>
        <w:rPr>
          <w:sz w:val="22"/>
        </w:rPr>
        <w:tab/>
      </w:r>
    </w:p>
    <w:p>
      <w:pPr>
        <w:pStyle w:val="BodyTextIndent"/>
        <w:tabs>
          <w:tab w:val="left" w:pos="90" w:leader="none"/>
          <w:tab w:val="left" w:pos="2160" w:leader="none"/>
          <w:tab w:val="left" w:pos="4140" w:leader="none"/>
          <w:tab w:val="left" w:pos="6480" w:leader="none"/>
        </w:tabs>
        <w:ind w:hanging="4860" w:start="4140" w:end="0"/>
        <w:rPr>
          <w:sz w:val="22"/>
        </w:rPr>
      </w:pPr>
      <w:r>
        <w:rPr>
          <w:sz w:val="22"/>
        </w:rPr>
        <w:t>Payment Date:</w:t>
        <w:tab/>
        <w:tab/>
        <w:t>&lt;&lt;PaymentDate&gt;&gt;</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&lt;&lt;Rounding&gt;&gt;</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1</w:t>
      </w:r>
      <w:r>
        <w:rPr>
          <w:sz w:val="16"/>
        </w:rPr>
        <w:t>Neither "Cap Price" nor "Floor Price" are defined in the ECT Master Agreement but “Strike Price” is referenced.</w:t>
        <w:tab/>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2</w:t>
      </w:r>
      <w:r>
        <w:rPr>
          <w:sz w:val="16"/>
        </w:rPr>
        <w:t xml:space="preserve">Necessary because definition for "Calculation of Cash Settlement Amount" uses the product of the  </w:t>
      </w:r>
      <w:r>
        <w:rPr>
          <w:sz w:val="16"/>
          <w:u w:val="single"/>
        </w:rPr>
        <w:t>total</w:t>
      </w:r>
      <w:r>
        <w:rPr>
          <w:sz w:val="16"/>
        </w:rPr>
        <w:t xml:space="preserve"> Notional Quantity and the Strike Price Differential.  Thus, "Cash Settlement Amount" need not even be included in this Confirmation.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Terms used and not otherwise defined in this Confirmation shall have the meanings given them in the Agreement.</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above-referenced Transaction, please so indicate by signing below and sending this Confirmation (or a copy hereof) to us.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contains any error, please notify &lt;&lt;EnronEntityCode&gt;&gt; immediately.  Failure to notify &lt;&lt;EnronEntityCode&gt;&gt; of a bona fide error in this Conformation or failure to accept this Conformation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Normal"/>
        <w:rPr>
          <w:sz w:val="22"/>
        </w:rPr>
      </w:pPr>
      <w:r>
        <w:rPr>
          <w:sz w:val="22"/>
        </w:rPr>
        <w:t>Contract No. &lt;&lt;DealNumber&gt;&gt;</w:t>
        <w:br/>
        <w:t>Confirmed as of date first above written:</w:t>
      </w:r>
    </w:p>
    <w:p>
      <w:pPr>
        <w:pStyle w:val="Normal"/>
        <w:rPr>
          <w:sz w:val="22"/>
        </w:rPr>
      </w:pPr>
      <w:r>
        <w:rPr>
          <w:sz w:val="22"/>
        </w:rPr>
      </w:r>
    </w:p>
    <w:p>
      <w:pPr>
        <w:pStyle w:val="Normal"/>
        <w:rPr>
          <w:sz w:val="22"/>
        </w:rPr>
      </w:pPr>
      <w:r>
        <w:rPr>
          <w:sz w:val="22"/>
        </w:rPr>
        <w:t>&lt;&lt;CounterpartyName&gt;&gt;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_______________________________</w:t>
      </w:r>
    </w:p>
    <w:p>
      <w:pPr>
        <w:pStyle w:val="Normal"/>
        <w:rPr>
          <w:sz w:val="22"/>
        </w:rPr>
      </w:pPr>
      <w:r>
        <w:rPr>
          <w:sz w:val="22"/>
        </w:rPr>
      </w:r>
    </w:p>
    <w:p>
      <w:pPr>
        <w:pStyle w:val="Normal"/>
        <w:rPr>
          <w:sz w:val="22"/>
        </w:rPr>
      </w:pPr>
      <w:r>
        <w:rPr>
          <w:sz w:val="22"/>
        </w:rPr>
        <w:t>Name:  ____________________________</w:t>
      </w:r>
    </w:p>
    <w:p>
      <w:pPr>
        <w:pStyle w:val="Normal"/>
        <w:rPr>
          <w:sz w:val="22"/>
        </w:rPr>
      </w:pPr>
      <w:r>
        <w:rPr>
          <w:sz w:val="22"/>
        </w:rPr>
      </w:r>
    </w:p>
    <w:p>
      <w:pPr>
        <w:pStyle w:val="Normal"/>
        <w:rPr>
          <w:sz w:val="22"/>
        </w:rPr>
      </w:pPr>
      <w:r>
        <w:rPr>
          <w:sz w:val="22"/>
        </w:rPr>
        <w:t>Title:  _____________________________</w:t>
      </w:r>
    </w:p>
    <w:p>
      <w:pPr>
        <w:pStyle w:val="Normal"/>
        <w:rPr>
          <w:sz w:val="22"/>
        </w:rPr>
      </w:pPr>
      <w:r>
        <w:rPr>
          <w:sz w:val="22"/>
        </w:rPr>
      </w:r>
    </w:p>
    <w:p>
      <w:pPr>
        <w:pStyle w:val="Normal"/>
        <w:rPr>
          <w:sz w:val="22"/>
        </w:rPr>
      </w:pPr>
      <w:r>
        <w:rPr>
          <w:sz w:val="22"/>
        </w:rPr>
      </w:r>
    </w:p>
    <w:sectPr>
      <w:headerReference w:type="default" r:id="rId3"/>
      <w:footerReference w:type="default" r:id="rId4"/>
      <w:type w:val="nextPage"/>
      <w:pgSz w:w="12240" w:h="15840"/>
      <w:pgMar w:left="1800" w:right="180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/mnt/main-storage/datasets/enron-docs/doc/MASTERCOLLAR.doc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MASTERcollar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1998-09-29T16:58:00Z</dcterms:created>
  <dc:creator>wende warren</dc:creator>
  <dc:description/>
  <dc:language>en-CA</dc:language>
  <cp:lastModifiedBy>kaye ellis</cp:lastModifiedBy>
  <cp:lastPrinted>1999-03-10T11:26:00Z</cp:lastPrinted>
  <dcterms:modified xsi:type="dcterms:W3CDTF">1999-03-10T14:57:00Z</dcterms:modified>
  <cp:revision>18</cp:revision>
  <dc:subject/>
  <dc:title/>
</cp:coreProperties>
</file>