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pPr>
      <w:r>
        <w:rPr>
          <w:rFonts w:cs="Helv" w:ascii="Helv" w:hAnsi="Helv"/>
          <w:b/>
          <w:bCs/>
          <w:color w:val="000000"/>
        </w:rPr>
        <w:t>MASSACHUSETTS RATE HIKE CREATES BACKLASH</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11/15/2000 </w:t>
      </w:r>
    </w:p>
    <w:p>
      <w:pPr>
        <w:pStyle w:val="Normal"/>
        <w:autoSpaceDE w:val="false"/>
        <w:spacing w:lineRule="atLeast" w:line="240"/>
        <w:rPr>
          <w:rFonts w:ascii="Helv" w:hAnsi="Helv" w:cs="Helv"/>
          <w:color w:val="000000"/>
        </w:rPr>
      </w:pPr>
      <w:r>
        <w:rPr>
          <w:rFonts w:cs="Helv" w:ascii="Helv" w:hAnsi="Helv"/>
          <w:color w:val="000000"/>
        </w:rPr>
        <w:t xml:space="preserve">Foster Electric Report </w:t>
      </w:r>
    </w:p>
    <w:p>
      <w:pPr>
        <w:pStyle w:val="Normal"/>
        <w:autoSpaceDE w:val="false"/>
        <w:spacing w:lineRule="atLeast" w:line="240"/>
        <w:rPr>
          <w:rFonts w:ascii="Helv" w:hAnsi="Helv" w:cs="Helv"/>
          <w:color w:val="000000"/>
        </w:rPr>
      </w:pPr>
      <w:r>
        <w:rPr>
          <w:rFonts w:cs="Helv" w:ascii="Helv" w:hAnsi="Helv"/>
          <w:color w:val="000000"/>
        </w:rPr>
        <w:t xml:space="preserve">8 </w:t>
      </w:r>
    </w:p>
    <w:p>
      <w:pPr>
        <w:pStyle w:val="Normal"/>
        <w:autoSpaceDE w:val="false"/>
        <w:spacing w:lineRule="atLeast" w:line="240"/>
        <w:rPr>
          <w:rFonts w:ascii="Helv" w:hAnsi="Helv" w:cs="Helv"/>
          <w:color w:val="000000"/>
        </w:rPr>
      </w:pPr>
      <w:r>
        <w:rPr>
          <w:rFonts w:cs="Helv" w:ascii="Helv" w:hAnsi="Helv"/>
          <w:color w:val="000000"/>
        </w:rPr>
        <w:t xml:space="preserve">(c) Copyright 2000, Foster Associates, Inc.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An Oct. 19 decision by the Mass. Dept. of Telecommunication and Energy (DTE) to pass on increased electric utility fuel costs to Massachusetts' ratepayers was greeted with hoots and charges that electricity deregulation is not working in the state. Critics complained that DTE made the decision, which they claimed could cause retail power rates for the state's default power customers to skyrocket by at least 40 percent, without a public announcement. Instead, DTE simply ordered the state's utilities to inform their customers of the probable rate hike by mail.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"Our DTE has forgotten that its primary mission is to serve the public," said an official of the Massachusetts Public Interest Research Group. "They absolutely see their role as protecting the utilities."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DTE, on the other hand, said the rate hike was regrettable but necessary if Massachusetts is to move to full retail choice. Further, DTE claimed that the move reflects increased fuel costs and is allowed under a settlement regarding default service for the state's deregulated market. Still pending before the DTE are rate hikes proposed by utilities for the far larger number of "standard offer" customers in Massachusetts, i.e., those customers that have chosen to buy their power from their traditional utilities.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As in California, Massachusetts' electric utilities cannot recover wholesale power costs that exceed those collected under a rate freeze established at the start of deregulation. While the Massachusetts' utilities' undercollections are nowhere near the billion dollar plus afflicting California's major electric utilities, they are still growing by millions of dollars a month.</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Mass. Attorney General Tom Reilly was not convinced by DTE's arguments. In an Oct. 27 letter to DTE, Reilly tore into the state regulators for approving the rate hike with "remarkable speed" and little regard for consumers' interests. Further, he suggested that DTE failed to live up its obligation under the Massachusetts' 1997 electric utility industry restructuring law to consider ways to mitigate the impact of rate increases on consumers.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"They act quickly enough when the companies are the ones asking for relief," Reilly complained. "But over the past two years, my office has raised several issues that would offer relief to consumers. DTE has not addressed one of those issues."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previous filings with DTE, Reilly explained that he was not objecting to the electric utilities' right to recover costs allowed under the state's restructuring law. Instead, he objected specifically "to the failure of some companies to provide customers with options for stable prices as required by the restructuring act. The department, apparently, did not view compliance with this statutory protection as an issue worth addressing."</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inequity could not be more clear," Reilly continued. "While utility requests for rate increases can be approved with a three-day turnaround, notwithstanding important legal questions over their appropriateness, consumers' requests for relief from unfair, excessive and unreasonable utility charges are tabled indefinitely."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Thus, Reilly demanded that DTE not approve "even a fraction of a penny" increase for Massachusetts' electric utilities until "it resolves the issues currently before it and meets its obligations to protect the interests of consumers."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In particular, Reilly said that DTE should act on his complaints alleging that (1) Fitchburg Gas&amp;Electric Light Co. was earning profits at nearly twice the rate of its actual cost of capital; (2) Boston Edison improperly transferred utility assets to a joint telecommunications venture at below market prices; Reilly argued that Boston Edison should be required to divest its investment and return any profits to its customers; and (3) Commonwealth Electric and Cambridge Electric failed to sell their generation assets to the highest bidder or use the proceeds to pay down their Seabrook nuclear power plant investment.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2000-11-15T16:51:00Z</dcterms:created>
  <dc:creator>mbuster</dc:creator>
  <dc:description/>
  <dc:language>en-CA</dc:language>
  <cp:lastModifiedBy>mbuster</cp:lastModifiedBy>
  <dcterms:modified xsi:type="dcterms:W3CDTF">2000-11-15T16:52:00Z</dcterms:modified>
  <cp:revision>1</cp:revision>
  <dc:subject/>
  <dc:title>MASSACHUSETTS RATE HIKE CREATES BACKLASH </dc:title>
</cp:coreProperties>
</file>