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FF0000"/>
          <w:sz w:val="32"/>
        </w:rPr>
      </w:pPr>
      <w:r>
        <w:rPr>
          <w:rFonts w:cs="Arial" w:ascii="Arial" w:hAnsi="Arial"/>
          <w:b/>
          <w:color w:val="FF0000"/>
          <w:sz w:val="32"/>
        </w:rPr>
      </w:r>
    </w:p>
    <w:p>
      <w:pPr>
        <w:pStyle w:val="Normal"/>
        <w:jc w:val="center"/>
        <w:rPr>
          <w:rFonts w:ascii="Arial" w:hAnsi="Arial" w:cs="Arial"/>
          <w:b/>
          <w:color w:val="FF0000"/>
          <w:sz w:val="32"/>
        </w:rPr>
      </w:pPr>
      <w:r>
        <w:rPr>
          <w:rFonts w:cs="Arial" w:ascii="Arial" w:hAnsi="Arial"/>
          <w:b/>
          <w:color w:val="FF0000"/>
          <w:sz w:val="32"/>
        </w:rPr>
        <w:t>IMPORTANT NOTICE RE BANKRUPTCY</w:t>
      </w:r>
    </w:p>
    <w:p>
      <w:pPr>
        <w:pStyle w:val="Normal"/>
        <w:jc w:val="center"/>
        <w:rPr>
          <w:rFonts w:ascii="Arial" w:hAnsi="Arial" w:cs="Arial"/>
          <w:b/>
          <w:color w:val="FF0000"/>
          <w:sz w:val="32"/>
        </w:rPr>
      </w:pPr>
      <w:r>
        <w:rPr>
          <w:rFonts w:cs="Arial" w:ascii="Arial" w:hAnsi="Arial"/>
          <w:b/>
          <w:color w:val="FF0000"/>
          <w:sz w:val="32"/>
        </w:rPr>
        <w:t>CLAIMS BAR DATES</w:t>
      </w:r>
    </w:p>
    <w:p>
      <w:pPr>
        <w:pStyle w:val="Normal"/>
        <w:rPr>
          <w:rFonts w:ascii="Arial" w:hAnsi="Arial" w:cs="Arial"/>
          <w:b/>
          <w:color w:val="FF0000"/>
          <w:sz w:val="32"/>
        </w:rPr>
      </w:pPr>
      <w:r>
        <w:rPr>
          <w:rFonts w:cs="Arial" w:ascii="Arial" w:hAnsi="Arial"/>
          <w:b/>
          <w:color w:val="FF0000"/>
          <w:sz w:val="32"/>
        </w:rPr>
      </w:r>
    </w:p>
    <w:p>
      <w:pPr>
        <w:pStyle w:val="BodyText"/>
        <w:rPr>
          <w:rFonts w:ascii="Arial" w:hAnsi="Arial" w:cs="Arial"/>
        </w:rPr>
      </w:pPr>
      <w:r>
        <w:rPr>
          <w:rFonts w:cs="Arial" w:ascii="Arial" w:hAnsi="Arial"/>
        </w:rPr>
        <w:t>As you are aware, Pacific Gas &amp; Electric Company (“PG&amp;E) and the California Power Exchange (“PX”) have filed petitions for relief in the United States Bankruptcy Court and are the subject of ongoing proceedings.  As we have previously advised in prior Market Notices, each of these parties is substantially in default of obligations—pre-petition and/or post-petition--incurred on its behalf in one of more of the ISO markets.  The amounts owing have resulted in a substantial reduction in monies paid out by the ISO to market participants.  Accordingly, market participants likely have claims or other legal rights they may wish to assert in either or both of the bankruptcy proceedings.</w:t>
      </w:r>
    </w:p>
    <w:p>
      <w:pPr>
        <w:pStyle w:val="Normal"/>
        <w:rPr>
          <w:rFonts w:ascii="Arial" w:hAnsi="Arial" w:cs="Arial"/>
        </w:rPr>
      </w:pPr>
      <w:r>
        <w:rPr>
          <w:rFonts w:cs="Arial" w:ascii="Arial" w:hAnsi="Arial"/>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A claims bar date of </w:t>
      </w:r>
      <w:r>
        <w:rPr>
          <w:rFonts w:cs="Arial" w:ascii="Arial" w:hAnsi="Arial"/>
          <w:b/>
          <w:sz w:val="24"/>
          <w:u w:val="single"/>
        </w:rPr>
        <w:t>September 5, 2001</w:t>
      </w:r>
      <w:r>
        <w:rPr>
          <w:rFonts w:cs="Arial" w:ascii="Arial" w:hAnsi="Arial"/>
          <w:sz w:val="24"/>
        </w:rPr>
        <w:t xml:space="preserve"> has been set in the PG&amp;E bankruptcy case, by which date all pre-petition claims against PG&amp;E must be filed with the Bankruptcy Court.  A claims bar date of </w:t>
      </w:r>
      <w:r>
        <w:rPr>
          <w:rFonts w:cs="Arial" w:ascii="Arial" w:hAnsi="Arial"/>
          <w:b/>
          <w:sz w:val="24"/>
          <w:u w:val="single"/>
        </w:rPr>
        <w:t>July 7, 2001</w:t>
      </w:r>
      <w:r>
        <w:rPr>
          <w:rFonts w:cs="Arial" w:ascii="Arial" w:hAnsi="Arial"/>
          <w:sz w:val="24"/>
        </w:rPr>
        <w:t>, has been set for the filing of “general unsecured creditor claims” against the PX; however, no bar date for filing “market participant claims” has yet been established in the PX case.</w:t>
      </w:r>
    </w:p>
    <w:p>
      <w:pPr>
        <w:pStyle w:val="Normal"/>
        <w:rPr>
          <w:rFonts w:ascii="Arial" w:hAnsi="Arial" w:cs="Arial"/>
          <w:sz w:val="24"/>
        </w:rPr>
      </w:pPr>
      <w:r>
        <w:rPr>
          <w:rFonts w:cs="Arial" w:ascii="Arial" w:hAnsi="Arial"/>
          <w:sz w:val="24"/>
        </w:rPr>
      </w:r>
    </w:p>
    <w:p>
      <w:pPr>
        <w:pStyle w:val="BodyText"/>
        <w:rPr>
          <w:rFonts w:ascii="Arial" w:hAnsi="Arial" w:cs="Arial"/>
        </w:rPr>
      </w:pPr>
      <w:r>
        <w:rPr>
          <w:rFonts w:cs="Arial" w:ascii="Arial" w:hAnsi="Arial"/>
        </w:rPr>
        <w:t>Although the California ISO settles transactions on behalf of its Market Participants, the ISO is neither authorized nor in a position unilaterally to assert claims on behalf of Market Participants in any bankruptcy proceeding, i.e. assert claims of  “ISO Debtors” against “ISO Creditors” (ISO Tariff Section 11.20.1).  Further while the ISO may be asked by an “ISO Debtor” to assert such claims in the PX or PG&amp;E cases, the ISO is not obliged to do so and will decline any such request.</w:t>
      </w:r>
    </w:p>
    <w:p>
      <w:pPr>
        <w:pStyle w:val="Normal"/>
        <w:rPr>
          <w:rFonts w:ascii="Arial" w:hAnsi="Arial" w:cs="Arial"/>
          <w:sz w:val="24"/>
        </w:rPr>
      </w:pPr>
      <w:r>
        <w:rPr>
          <w:rFonts w:cs="Arial" w:ascii="Arial" w:hAnsi="Arial"/>
          <w:sz w:val="24"/>
        </w:rPr>
      </w:r>
    </w:p>
    <w:p>
      <w:pPr>
        <w:pStyle w:val="Normal"/>
        <w:rPr/>
      </w:pPr>
      <w:r>
        <w:rPr>
          <w:rFonts w:cs="Arial" w:ascii="Arial" w:hAnsi="Arial"/>
          <w:b/>
          <w:caps/>
          <w:sz w:val="24"/>
        </w:rPr>
        <w:t>Therefore, this Market Notice serves to advise Market Participants that any and all such Market Participants who have or may have  claims against either the PX or PG&amp;E must themselves file proofs of such claims with the relevant bankruptcy court</w:t>
      </w:r>
      <w:r>
        <w:rPr>
          <w:rFonts w:cs="Arial" w:ascii="Arial" w:hAnsi="Arial"/>
          <w:sz w:val="24"/>
        </w:rPr>
        <w:t>.  The ISO expressly disavows any liability for any Market Participant’s  claims, whether or not the Market Participant files any such proofs of claim in the PX or PG&amp;E case.</w:t>
      </w:r>
    </w:p>
    <w:p>
      <w:pPr>
        <w:pStyle w:val="Normal"/>
        <w:rPr>
          <w:rFonts w:ascii="Arial" w:hAnsi="Arial" w:cs="Arial"/>
          <w:sz w:val="24"/>
        </w:rPr>
      </w:pPr>
      <w:r>
        <w:rPr>
          <w:rFonts w:cs="Arial" w:ascii="Arial" w:hAnsi="Arial"/>
          <w:sz w:val="24"/>
        </w:rPr>
      </w:r>
    </w:p>
    <w:p>
      <w:pPr>
        <w:pStyle w:val="BodyText"/>
        <w:rPr>
          <w:rFonts w:ascii="Arial" w:hAnsi="Arial" w:cs="Arial"/>
        </w:rPr>
      </w:pPr>
      <w:r>
        <w:rPr>
          <w:rFonts w:cs="Arial" w:ascii="Arial" w:hAnsi="Arial"/>
        </w:rPr>
        <w:t>The ISO has provided, and will continue to provide, information to market participants concerning the amounts owed.  Please be advised, however, that statements provided thus far have been preliminary.  A number of transactions for which preliminary statements have been issued are currently the subject of disputes and/or potential market reruns.  We anticipate that the same situation will occur with regard to future statements.  The ISO will continue to work diligently to resolve these issues as quickly as possible.  However, some amendment to the statements and to any proofs of claim submitted by market participants based thereon likely will be necessary, and all rights to make such modifications should be preserved.</w:t>
      </w:r>
    </w:p>
    <w:p>
      <w:pPr>
        <w:pStyle w:val="BodyText2"/>
        <w:rPr/>
      </w:pPr>
      <w:r>
        <w:rPr>
          <w:rPrChange w:id="0" w:author="Unknown Author" w:date="0-00-00T00:00:00Z"/>
        </w:rPr>
        <w:t>Market Participants should consult their own legal advisors as to the impact upon their respective rights of the claims bar date in the bankruptcy cases of the PX and PG&amp;E.</w:t>
      </w:r>
    </w:p>
    <w:p>
      <w:pPr>
        <w:pStyle w:val="BodyText"/>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2001-05-22T17:13:00Z</dcterms:created>
  <dc:creator>Morrison</dc:creator>
  <dc:description/>
  <dc:language>en-CA</dc:language>
  <cp:lastModifiedBy>GDavis</cp:lastModifiedBy>
  <cp:lastPrinted>2001-05-22T12:45:00Z</cp:lastPrinted>
  <dcterms:modified xsi:type="dcterms:W3CDTF">2001-05-22T17:18:00Z</dcterms:modified>
  <cp:revision>3</cp:revision>
  <dc:subject/>
  <dc:title>DRAFT MARKET NOTICE</dc:title>
</cp:coreProperties>
</file>