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MARKET MONITORING:</w:t>
      </w:r>
    </w:p>
    <w:p>
      <w:pPr>
        <w:pStyle w:val="Normal"/>
        <w:jc w:val="center"/>
        <w:rPr>
          <w:b/>
          <w:sz w:val="28"/>
        </w:rPr>
      </w:pPr>
      <w:r>
        <w:rPr>
          <w:b/>
          <w:sz w:val="28"/>
        </w:rPr>
        <w:t>Guiding Principles</w:t>
      </w:r>
    </w:p>
    <w:p>
      <w:pPr>
        <w:pStyle w:val="Normal"/>
        <w:rPr>
          <w:b/>
          <w:sz w:val="28"/>
        </w:rPr>
      </w:pPr>
      <w:r>
        <w:rPr>
          <w:b/>
          <w:sz w:val="28"/>
        </w:rPr>
      </w:r>
    </w:p>
    <w:p>
      <w:pPr>
        <w:pStyle w:val="Normal"/>
        <w:numPr>
          <w:ilvl w:val="0"/>
          <w:numId w:val="2"/>
        </w:numPr>
        <w:spacing w:before="0" w:after="120"/>
        <w:rPr/>
      </w:pPr>
      <w:r>
        <w:rPr/>
        <w:t>Anticompetitive behavior is disruptive to workably competitive markets and must be identified and remedied.</w:t>
      </w:r>
    </w:p>
    <w:p>
      <w:pPr>
        <w:pStyle w:val="Normal"/>
        <w:numPr>
          <w:ilvl w:val="0"/>
          <w:numId w:val="2"/>
        </w:numPr>
        <w:spacing w:before="0" w:after="120"/>
        <w:rPr/>
      </w:pPr>
      <w:r>
        <w:rPr/>
        <w:t>High prices, in and of themselves, are not proof of anticompetitive behavior and may be due to market fundamentals, such as generation scarcity, high demand, or high variable costs.  The role of market monitoring is not to dampen or eliminate high prices that are sending signals to the market.</w:t>
      </w:r>
    </w:p>
    <w:p>
      <w:pPr>
        <w:pStyle w:val="Normal"/>
        <w:numPr>
          <w:ilvl w:val="0"/>
          <w:numId w:val="2"/>
        </w:numPr>
        <w:spacing w:before="0" w:after="120"/>
        <w:rPr/>
      </w:pPr>
      <w:r>
        <w:rPr/>
        <w:t>While there are unique features of the California market that must be taken into account, the standards for market monitoring in California should not be different from those applied elsewhere.  In addition, California should not replicate the disruptive experiences with market intervention experienced until recently in the eastern ISO markets.</w:t>
      </w:r>
    </w:p>
    <w:p>
      <w:pPr>
        <w:pStyle w:val="Normal"/>
        <w:numPr>
          <w:ilvl w:val="0"/>
          <w:numId w:val="2"/>
        </w:numPr>
        <w:spacing w:before="0" w:after="120"/>
        <w:rPr/>
      </w:pPr>
      <w:r>
        <w:rPr/>
        <w:t xml:space="preserve">Standards to identify and remedy anticompetitive behavior must be clearly identified and consistently applied.  </w:t>
      </w:r>
    </w:p>
    <w:p>
      <w:pPr>
        <w:pStyle w:val="Normal"/>
        <w:numPr>
          <w:ilvl w:val="0"/>
          <w:numId w:val="2"/>
        </w:numPr>
        <w:spacing w:before="0" w:after="120"/>
        <w:rPr/>
      </w:pPr>
      <w:r>
        <w:rPr/>
        <w:t>In assessing market power, the Commission should apply traditional antitrust standards, focusing on generation and transmission market concentration levels and barriers to entry, as is routinely done with respect to mergers and market-based rate authority.  Application of these standards do not show the California wholesale market to be subject to anticompetitive behavior on a routine basis.</w:t>
      </w:r>
    </w:p>
    <w:p>
      <w:pPr>
        <w:pStyle w:val="Normal"/>
        <w:numPr>
          <w:ilvl w:val="0"/>
          <w:numId w:val="2"/>
        </w:numPr>
        <w:spacing w:before="0" w:after="120"/>
        <w:rPr/>
      </w:pPr>
      <w:r>
        <w:rPr/>
        <w:t xml:space="preserve">Prices are not an effective test of anticompetitive behavior.  </w:t>
      </w:r>
    </w:p>
    <w:p>
      <w:pPr>
        <w:pStyle w:val="Normal"/>
        <w:numPr>
          <w:ilvl w:val="0"/>
          <w:numId w:val="2"/>
        </w:numPr>
        <w:tabs>
          <w:tab w:val="clear" w:pos="720"/>
        </w:tabs>
        <w:spacing w:before="0" w:after="120"/>
        <w:ind w:hanging="360" w:start="720" w:end="0"/>
        <w:rPr/>
      </w:pPr>
      <w:r>
        <w:rPr/>
        <w:t xml:space="preserve">Prices above marginal cost are not evidence of market power.  Numerous factors can lead bidders to bid above or below their marginal costs in a given hour.  </w:t>
      </w:r>
    </w:p>
    <w:p>
      <w:pPr>
        <w:pStyle w:val="Normal"/>
        <w:numPr>
          <w:ilvl w:val="0"/>
          <w:numId w:val="2"/>
        </w:numPr>
        <w:tabs>
          <w:tab w:val="clear" w:pos="720"/>
        </w:tabs>
        <w:spacing w:before="0" w:after="120"/>
        <w:ind w:hanging="360" w:start="720" w:end="0"/>
        <w:rPr/>
      </w:pPr>
      <w:r>
        <w:rPr/>
        <w:t xml:space="preserve">Chief among the factors omitted by a marginal cost analysis are capacity values, opportunity costs and scarcity values.  There is no generally accepted methodology for measuring these three factors or from separating them from abuse of market power.  Thus, applications of price-based tests for market power are challenging to quantify and would require significant consensus on appropriate data sources among the parties.  </w:t>
      </w:r>
    </w:p>
    <w:p>
      <w:pPr>
        <w:pStyle w:val="Normal"/>
        <w:numPr>
          <w:ilvl w:val="0"/>
          <w:numId w:val="2"/>
        </w:numPr>
        <w:tabs>
          <w:tab w:val="clear" w:pos="720"/>
        </w:tabs>
        <w:spacing w:before="0" w:after="120"/>
        <w:ind w:hanging="360" w:start="720" w:end="0"/>
        <w:rPr>
          <w:b/>
        </w:rPr>
      </w:pPr>
      <w:r>
        <w:rPr>
          <w:b/>
        </w:rPr>
        <w:t>[Working on bullets expanding on capacity value, opportunity costs and scarcity rents]</w:t>
      </w:r>
    </w:p>
    <w:p>
      <w:pPr>
        <w:pStyle w:val="Normal"/>
        <w:numPr>
          <w:ilvl w:val="0"/>
          <w:numId w:val="2"/>
        </w:numPr>
        <w:spacing w:before="0" w:after="120"/>
        <w:rPr/>
      </w:pPr>
      <w:r>
        <w:rPr/>
        <w:t xml:space="preserve">Failure to bid all of a generating unit’s capacity into the energy market is not evidence of market power.  Numerous factors can lead a generator to fail to bid in a particular hour, including a need to hedge against possible outages by other units.  </w:t>
      </w:r>
    </w:p>
    <w:p>
      <w:pPr>
        <w:pStyle w:val="Normal"/>
        <w:numPr>
          <w:ilvl w:val="0"/>
          <w:numId w:val="2"/>
        </w:numPr>
        <w:spacing w:before="0" w:after="120"/>
        <w:rPr/>
      </w:pPr>
      <w:r>
        <w:rPr/>
        <w:t xml:space="preserve">Single-price auctions should be used to set the market clearing price only for a small residual market.  Freed of regulatory and political constraints, most buying and selling is likely to occur through voluntary, negotiated bilateral contracts.  For the remaining short-term markets, accurate price signals are needed to encourage investment in new generation and demand-side management, as well as encourage use of appropriate hedging mechanisms.  </w:t>
      </w:r>
    </w:p>
    <w:p>
      <w:pPr>
        <w:pStyle w:val="Normal"/>
        <w:numPr>
          <w:ilvl w:val="0"/>
          <w:numId w:val="1"/>
        </w:numPr>
        <w:spacing w:before="0" w:after="120"/>
        <w:rPr/>
      </w:pPr>
      <w:r>
        <w:rPr/>
        <w:t xml:space="preserve">The role of the Cal ISO MSC is to monitor markets for the abuse of market power under antitrust standards and refer matters to FERC for further investigation.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DRAFT 2</w:t>
    </w:r>
  </w:p>
  <w:p>
    <w:pPr>
      <w:pStyle w:val="Header"/>
      <w:rPr>
        <w:b/>
        <w:sz w:val="28"/>
      </w:rPr>
    </w:pPr>
    <w:r>
      <w:rPr>
        <w:b/>
        <w:sz w:val="28"/>
      </w:rPr>
      <w:tab/>
      <w:tab/>
      <w:t>January 12, 2001</w:t>
    </w:r>
  </w:p>
  <w:p>
    <w:pPr>
      <w:pStyle w:val="Head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color w:val="auto"/>
      <w:sz w:val="28"/>
    </w:rPr>
  </w:style>
  <w:style w:type="character" w:styleId="WW8Num5z0">
    <w:name w:val="WW8Num5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2001-01-11T17:29:00Z</dcterms:created>
  <dc:creator>julie simon</dc:creator>
  <dc:description/>
  <dc:language>en-CA</dc:language>
  <cp:lastModifiedBy>Jackie Gallagher</cp:lastModifiedBy>
  <cp:lastPrinted>2001-01-12T11:32:00Z</cp:lastPrinted>
  <dcterms:modified xsi:type="dcterms:W3CDTF">2001-01-12T14:42:00Z</dcterms:modified>
  <cp:revision>7</cp:revision>
  <dc:subject/>
  <dc:title>MARKET MONITORING:</dc:title>
</cp:coreProperties>
</file>