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left" w:pos="720" w:leader="none"/>
        </w:tabs>
        <w:ind w:hanging="0" w:start="0"/>
        <w:jc w:val="center"/>
        <w:rPr>
          <w:sz w:val="24"/>
        </w:rPr>
      </w:pPr>
      <w:r>
        <w:rPr>
          <w:sz w:val="24"/>
        </w:rPr>
        <w:t>MARGIN ANALYSIS</w:t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BACKGROUND</w:t>
      </w:r>
    </w:p>
    <w:p>
      <w:pPr>
        <w:pStyle w:val="Normal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Objective:  Analyze alternatives available to ECT Investments, Inc. (“ECTI”) to reduce margin requirements imposed on its U.S. listed securities trading activities (e.g., determine whether non-U.S. investment vehicle could be employed to reduce or eliminate margin requirements)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Surveyed four New York law firms:  (1) Sullivan &amp; Cromwell (Ken Raisler); (2) Cadwalader, Wickersham &amp; Taft (Maureen Bartlett); (3) Seward &amp; Kissel (Bill Mulligan &amp; John Tavss); and (4) Skadden Arps (Phil Harris &amp; Deborah Tuckman)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>
          <w:sz w:val="24"/>
        </w:rPr>
      </w:pPr>
      <w:r>
        <w:rPr>
          <w:sz w:val="24"/>
        </w:rPr>
        <w:t>FINDINGS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Ways to potentially mitigate U.S. margin requirements (Regs. T, U &amp; X) on long positions in U.S. listed securities: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Indent"/>
        <w:ind w:start="2160" w:end="0"/>
        <w:jc w:val="both"/>
        <w:rPr/>
      </w:pPr>
      <w:r>
        <w:rPr/>
        <w:t>(1)</w:t>
        <w:tab/>
        <w:t xml:space="preserve">Invest via a fund predominately owned or controlled (60% or more), directly or indirectly, by non-U.S. investors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sz w:val="24"/>
        </w:rPr>
      </w:pPr>
      <w:r>
        <w:rPr>
          <w:sz w:val="24"/>
        </w:rPr>
        <w:t>non-U.S. investors cannot be acting on behalf of, in conjunction with, or be controlled by a U.S. corporation, directly or indirectly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hanging="720" w:start="2160" w:end="0"/>
        <w:jc w:val="both"/>
        <w:rPr>
          <w:sz w:val="24"/>
        </w:rPr>
      </w:pPr>
      <w:r>
        <w:rPr>
          <w:sz w:val="24"/>
        </w:rPr>
        <w:t>(2)</w:t>
        <w:tab/>
        <w:t>Maintain market maker status in certain OTC stocks (e.g., NASDAQ)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ind w:hanging="360" w:start="2520" w:end="0"/>
        <w:jc w:val="both"/>
        <w:rPr>
          <w:sz w:val="24"/>
        </w:rPr>
      </w:pPr>
      <w:r>
        <w:rPr>
          <w:sz w:val="24"/>
        </w:rPr>
        <w:t>must be a broker-dealer and not part of a Joint Back Office (see below)</w:t>
      </w:r>
    </w:p>
    <w:p>
      <w:pPr>
        <w:pStyle w:val="Normal"/>
        <w:ind w:start="216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sz w:val="24"/>
        </w:rPr>
      </w:pPr>
      <w:r>
        <w:rPr>
          <w:sz w:val="24"/>
        </w:rPr>
        <w:t>does not work for NYSE and American Exchange listed securities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hanging="720" w:start="2160" w:end="0"/>
        <w:jc w:val="both"/>
        <w:rPr>
          <w:sz w:val="24"/>
        </w:rPr>
      </w:pPr>
      <w:r>
        <w:rPr>
          <w:sz w:val="24"/>
        </w:rPr>
        <w:t>(3)</w:t>
        <w:tab/>
        <w:t>Utilize OTC equity derivatives structures, which are not subject to U.S. margin requirements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hanging="720" w:start="2160" w:end="0"/>
        <w:jc w:val="both"/>
        <w:rPr>
          <w:sz w:val="24"/>
        </w:rPr>
      </w:pPr>
      <w:r>
        <w:rPr>
          <w:sz w:val="24"/>
        </w:rPr>
        <w:t>(4)</w:t>
        <w:tab/>
        <w:t>Employ Joint Back Office (JBO) arrangement (Bartlett; Tavss; Tuckman)</w:t>
      </w:r>
    </w:p>
    <w:p>
      <w:pPr>
        <w:pStyle w:val="Normal"/>
        <w:ind w:hanging="720" w:start="216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0" w:start="2160" w:end="0"/>
        <w:jc w:val="both"/>
        <w:rPr>
          <w:sz w:val="24"/>
        </w:rPr>
      </w:pPr>
      <w:r>
        <w:rPr>
          <w:sz w:val="24"/>
        </w:rPr>
        <w:t>form and own NASD qualified broker-dealer</w:t>
      </w:r>
    </w:p>
    <w:p>
      <w:pPr>
        <w:pStyle w:val="Normal"/>
        <w:tabs>
          <w:tab w:val="clear" w:pos="720"/>
          <w:tab w:val="left" w:pos="2520" w:leader="none"/>
        </w:tabs>
        <w:ind w:start="216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sz w:val="24"/>
        </w:rPr>
      </w:pPr>
      <w:r>
        <w:rPr>
          <w:sz w:val="24"/>
        </w:rPr>
        <w:t>broker-dealer invests nominal amount (approx. $10,000 – 50,000) in preferred stock of clearing broker-dealer’s common back office entity – a broker-dealer itself</w:t>
      </w:r>
    </w:p>
    <w:p>
      <w:pPr>
        <w:pStyle w:val="Normal"/>
        <w:tabs>
          <w:tab w:val="clear" w:pos="720"/>
          <w:tab w:val="left" w:pos="252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0" w:start="2160" w:end="0"/>
        <w:jc w:val="both"/>
        <w:rPr>
          <w:sz w:val="24"/>
        </w:rPr>
      </w:pPr>
      <w:r>
        <w:rPr>
          <w:sz w:val="24"/>
        </w:rPr>
        <w:t>our new broker-dealer would open JBO account</w:t>
      </w:r>
    </w:p>
    <w:p>
      <w:pPr>
        <w:pStyle w:val="Normal"/>
        <w:tabs>
          <w:tab w:val="clear" w:pos="720"/>
          <w:tab w:val="left" w:pos="252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sz w:val="24"/>
        </w:rPr>
      </w:pPr>
      <w:r>
        <w:rPr>
          <w:sz w:val="24"/>
        </w:rPr>
        <w:t xml:space="preserve">JBO account investments are </w:t>
      </w:r>
      <w:r>
        <w:rPr>
          <w:sz w:val="24"/>
          <w:u w:val="single"/>
        </w:rPr>
        <w:t>not</w:t>
      </w:r>
      <w:r>
        <w:rPr>
          <w:sz w:val="24"/>
        </w:rPr>
        <w:t xml:space="preserve"> subject to U.S. margin requirements (because clearing broker treats JBO’s positions as its own, </w:t>
      </w:r>
      <w:r>
        <w:rPr>
          <w:sz w:val="24"/>
          <w:u w:val="single"/>
        </w:rPr>
        <w:t>not</w:t>
      </w:r>
      <w:r>
        <w:rPr>
          <w:sz w:val="24"/>
        </w:rPr>
        <w:t xml:space="preserve"> its customer’s for margin requirement purposes)</w:t>
      </w:r>
    </w:p>
    <w:p>
      <w:pPr>
        <w:pStyle w:val="Normal"/>
        <w:tabs>
          <w:tab w:val="clear" w:pos="720"/>
          <w:tab w:val="left" w:pos="2520" w:leader="none"/>
        </w:tabs>
        <w:ind w:start="216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sz w:val="24"/>
        </w:rPr>
      </w:pPr>
      <w:r>
        <w:rPr>
          <w:sz w:val="24"/>
        </w:rPr>
        <w:t xml:space="preserve">However, clearing broker arranging JBO would impose in-house capital requirements maintenance of capital in JBO account </w:t>
      </w:r>
      <w:r>
        <w:rPr>
          <w:sz w:val="24"/>
          <w:u w:val="single"/>
        </w:rPr>
        <w:t>and</w:t>
      </w:r>
      <w:r>
        <w:rPr>
          <w:sz w:val="24"/>
        </w:rPr>
        <w:t xml:space="preserve"> new broker-dealer would have to maintain certain level of capital reserves per NASD (e.g., may effectively decrease margin from 50% to range of  35-15%)</w:t>
      </w:r>
    </w:p>
    <w:p>
      <w:pPr>
        <w:pStyle w:val="Normal"/>
        <w:tabs>
          <w:tab w:val="clear" w:pos="720"/>
          <w:tab w:val="left" w:pos="252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sz w:val="24"/>
        </w:rPr>
      </w:pPr>
      <w:r>
        <w:rPr>
          <w:sz w:val="24"/>
        </w:rPr>
        <w:t xml:space="preserve">Some preliminary issues:  (a) </w:t>
      </w:r>
      <w:r>
        <w:rPr>
          <w:sz w:val="24"/>
          <w:u w:val="single"/>
        </w:rPr>
        <w:t>may</w:t>
      </w:r>
      <w:r>
        <w:rPr>
          <w:sz w:val="24"/>
        </w:rPr>
        <w:t xml:space="preserve"> not be able to purchase hot issues through broker-dealer (Note:  This needs to be reconfirmed); and (b) broker-dealer administrative/compliance burdens (Bear Stearns, Spear Leevs &amp; Kellogg, and Wagner Scott each offer JBO’s; Goldman Sachs and Morgan Stanley do not); and (c) need to research ability to use ECT Securities LP. </w:t>
      </w:r>
    </w:p>
    <w:p>
      <w:pPr>
        <w:pStyle w:val="Normal"/>
        <w:tabs>
          <w:tab w:val="clear" w:pos="720"/>
          <w:tab w:val="left" w:pos="2520" w:leader="none"/>
        </w:tabs>
        <w:ind w:start="216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0" w:start="2160" w:end="0"/>
        <w:jc w:val="both"/>
        <w:rPr>
          <w:sz w:val="24"/>
        </w:rPr>
      </w:pPr>
      <w:r>
        <w:rPr>
          <w:sz w:val="24"/>
        </w:rPr>
        <w:t xml:space="preserve">Lipper Funds and Commodity Corp. use JBO’s </w:t>
      </w:r>
    </w:p>
    <w:p>
      <w:pPr>
        <w:pStyle w:val="Normal"/>
        <w:tabs>
          <w:tab w:val="clear" w:pos="720"/>
          <w:tab w:val="left" w:pos="252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sz w:val="24"/>
        </w:rPr>
      </w:pPr>
      <w:r>
        <w:rPr>
          <w:sz w:val="24"/>
        </w:rPr>
        <w:t>JBO is legitimate arrangement recognized by SEC interpretations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  <w:tab w:val="left" w:pos="2520" w:leader="none"/>
        </w:tabs>
        <w:ind w:hanging="360" w:start="2520" w:end="0"/>
        <w:jc w:val="both"/>
        <w:rPr>
          <w:sz w:val="24"/>
        </w:rPr>
      </w:pPr>
      <w:r>
        <w:rPr>
          <w:sz w:val="24"/>
        </w:rPr>
        <w:t xml:space="preserve">Contact names:  Bear Stearns (Mike Minikes); Morgan Stanley (Stu Hendell) </w:t>
      </w:r>
    </w:p>
    <w:p>
      <w:pPr>
        <w:pStyle w:val="Normal"/>
        <w:tabs>
          <w:tab w:val="clear" w:pos="720"/>
          <w:tab w:val="left" w:pos="252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720" w:end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(5)</w:t>
        <w:tab/>
        <w:t>Use proceeds generated from your short sales to clearing broker-dealer to purchase long positions (Reg T margin rules do not apply to short sales) – long positions will require no margin because this is not considered to be broker financing rather investor is using own funds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0" w:start="2160" w:end="0"/>
        <w:jc w:val="both"/>
        <w:rPr>
          <w:sz w:val="24"/>
        </w:rPr>
      </w:pPr>
      <w:r>
        <w:rPr>
          <w:sz w:val="24"/>
        </w:rPr>
        <w:t>Morgan Stanley offers this service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6"/>
        </w:numPr>
        <w:jc w:val="both"/>
        <w:rPr/>
      </w:pPr>
      <w:r>
        <w:rPr/>
        <w:t>Most hedge funds are fully margined and usually do not want to be leveraged more than 2 to 1 (Raisler)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Bear in mind SEC is currently very concerned about highly leveraged trading (Raisler); Fed pressure to decrease leverage in system (Tavss)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  <w:lang w:eastAsia="en-US"/>
      </w:rPr>
    </w:pPr>
    <w:r>
      <w:rPr>
        <w:sz w:val="8"/>
        <w:lang w:eastAsia="en-US"/>
      </w:rPr>
      <w:fldChar w:fldCharType="begin"/>
    </w:r>
    <w:r>
      <w:rPr>
        <w:sz w:val="8"/>
        <w:lang w:eastAsia="en-US"/>
      </w:rPr>
      <w:instrText xml:space="preserve"> FILENAME \p </w:instrText>
    </w:r>
    <w:r>
      <w:rPr>
        <w:sz w:val="8"/>
        <w:lang w:eastAsia="en-US"/>
      </w:rPr>
      <w:fldChar w:fldCharType="separate"/>
    </w:r>
    <w:r>
      <w:rPr>
        <w:sz w:val="8"/>
        <w:lang w:eastAsia="en-US"/>
      </w:rPr>
      <w:t>/mnt/main-storage/datasets/enron-docs/doc/MARGIN_ANALYSIS.3.24.00.doc</w:t>
    </w:r>
    <w:r>
      <w:rPr>
        <w:sz w:val="8"/>
        <w:lang w:eastAsia="en-US"/>
      </w:rPr>
      <w:fldChar w:fldCharType="end"/>
    </w:r>
  </w:p>
  <w:p>
    <w:pPr>
      <w:pStyle w:val="Footer"/>
      <w:rPr>
        <w:sz w:val="8"/>
        <w:lang w:eastAsia="en-US"/>
      </w:rPr>
    </w:pPr>
    <w:r>
      <w:rPr>
        <w:sz w:val="8"/>
        <w:lang w:eastAsia="en-US"/>
      </w:rPr>
    </w:r>
  </w:p>
  <w:p>
    <w:pPr>
      <w:pStyle w:val="Footer"/>
      <w:rPr>
        <w:sz w:val="8"/>
        <w:lang w:eastAsia="en-US"/>
      </w:rPr>
    </w:pPr>
    <w:r>
      <w:rPr>
        <w:sz w:val="8"/>
        <w:lang w:eastAsia="en-US"/>
      </w:rPr>
    </w:r>
  </w:p>
  <w:p>
    <w:pPr>
      <w:pStyle w:val="Footer"/>
      <w:rPr>
        <w:sz w:val="8"/>
        <w:lang w:eastAsia="en-US"/>
      </w:rPr>
    </w:pPr>
    <w:r>
      <w:rPr>
        <w:sz w:val="8"/>
        <w:lang w:eastAsia="en-US"/>
      </w:rPr>
    </w:r>
  </w:p>
  <w:p>
    <w:pPr>
      <w:pStyle w:val="Footer"/>
      <w:jc w:val="center"/>
      <w:rPr/>
    </w:pP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 xml:space="preserve"> of </w:t>
    </w:r>
    <w:r>
      <w:rPr>
        <w:lang w:eastAsia="en-US"/>
      </w:rPr>
      <w:fldChar w:fldCharType="begin"/>
    </w:r>
    <w:r>
      <w:rPr>
        <w:lang w:eastAsia="en-US"/>
      </w:rPr>
      <w:instrText xml:space="preserve"> NUMPAGES \* ARABIC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DRAFT OF 3/23/00</w:t>
    </w:r>
  </w:p>
  <w:p>
    <w:pPr>
      <w:pStyle w:val="Header"/>
      <w:jc w:val="end"/>
      <w:rPr>
        <w:b/>
        <w:u w:val="single"/>
      </w:rPr>
    </w:pPr>
    <w:r>
      <w:rPr>
        <w:b/>
        <w:u w:val="single"/>
      </w:rPr>
      <w:t>PRIVILEGED &amp; CONFIDENTIAL COMMUNICATION</w:t>
    </w:r>
  </w:p>
  <w:p>
    <w:pPr>
      <w:pStyle w:val="Header"/>
      <w:jc w:val="end"/>
      <w:rPr>
        <w:b/>
        <w:u w:val="single"/>
      </w:rPr>
    </w:pPr>
    <w:r>
      <w:rPr>
        <w:b/>
        <w:u w:val="single"/>
      </w:rPr>
    </w:r>
  </w:p>
  <w:p>
    <w:pPr>
      <w:pStyle w:val="Header"/>
      <w:jc w:val="end"/>
      <w:rPr>
        <w:b/>
        <w:u w:val="single"/>
      </w:rPr>
    </w:pPr>
    <w:r>
      <w:rPr>
        <w:b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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720" w:leader="none"/>
      </w:tabs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144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2000-03-24T12:09:00Z</dcterms:created>
  <dc:creator>jdavis5</dc:creator>
  <dc:description/>
  <dc:language>en-CA</dc:language>
  <cp:lastModifiedBy>jdavis5</cp:lastModifiedBy>
  <cp:lastPrinted>2000-03-24T10:00:00Z</cp:lastPrinted>
  <dcterms:modified xsi:type="dcterms:W3CDTF">2000-03-24T13:33:00Z</dcterms:modified>
  <cp:revision>21</cp:revision>
  <dc:subject/>
  <dc:title>MARGIN ANALYSIS</dc:title>
</cp:coreProperties>
</file>