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8450" w:type="dxa"/>
        <w:jc w:val="start"/>
        <w:tblInd w:w="-432" w:type="dxa"/>
        <w:tblLayout w:type="fixed"/>
        <w:tblCellMar>
          <w:top w:w="0" w:type="dxa"/>
          <w:start w:w="108" w:type="dxa"/>
          <w:bottom w:w="0" w:type="dxa"/>
          <w:end w:w="108" w:type="dxa"/>
        </w:tblCellMar>
      </w:tblPr>
      <w:tblGrid>
        <w:gridCol w:w="18450"/>
      </w:tblGrid>
      <w:tr>
        <w:trPr/>
        <w:tc>
          <w:tcPr>
            <w:tcW w:w="18450" w:type="dxa"/>
            <w:tcBorders>
              <w:top w:val="single" w:sz="4" w:space="0" w:color="000000"/>
              <w:start w:val="single" w:sz="4" w:space="0" w:color="000000"/>
              <w:bottom w:val="single" w:sz="4" w:space="0" w:color="000000"/>
              <w:end w:val="single" w:sz="4" w:space="0" w:color="000000"/>
            </w:tcBorders>
            <w:shd w:fill="FFFF00" w:val="clear"/>
          </w:tcPr>
          <w:p>
            <w:pPr>
              <w:pStyle w:val="Normal"/>
              <w:rPr>
                <w:b/>
              </w:rPr>
            </w:pPr>
            <w:r>
              <w:rPr>
                <w:b/>
                <w:sz w:val="24"/>
              </w:rPr>
              <w:t>Project Objective</w:t>
            </w:r>
          </w:p>
        </w:tc>
      </w:tr>
      <w:tr>
        <w:trPr/>
        <w:tc>
          <w:tcPr>
            <w:tcW w:w="18450" w:type="dxa"/>
            <w:tcBorders>
              <w:top w:val="single" w:sz="4" w:space="0" w:color="000000"/>
              <w:start w:val="single" w:sz="4" w:space="0" w:color="000000"/>
              <w:bottom w:val="single" w:sz="4" w:space="0" w:color="000000"/>
              <w:end w:val="single" w:sz="4" w:space="0" w:color="000000"/>
            </w:tcBorders>
          </w:tcPr>
          <w:p>
            <w:pPr>
              <w:pStyle w:val="BodyText2"/>
              <w:rPr/>
            </w:pPr>
            <w:r>
              <w:rPr/>
              <w:t>Our review was designed to identify and test key policies, procedures, and controls related to 1) the use of MAPS by appropriate parties, 2) the insurance of timely, complete and accurate data capture, 3) key calculations, interfaces, and data validation checks and their sufficiency to preserve data integrity, and 4) the protection of critical data from unauthorized modification and misuse.</w:t>
            </w:r>
          </w:p>
          <w:p>
            <w:pPr>
              <w:pStyle w:val="Heading5"/>
              <w:ind w:hanging="0" w:start="0"/>
              <w:rPr>
                <w:b w:val="false"/>
                <w:i w:val="false"/>
                <w:i w:val="false"/>
                <w:sz w:val="20"/>
              </w:rPr>
            </w:pPr>
            <w:r>
              <w:rPr>
                <w:b w:val="false"/>
                <w:i w:val="false"/>
                <w:sz w:val="20"/>
              </w:rPr>
            </w:r>
          </w:p>
        </w:tc>
      </w:tr>
    </w:tbl>
    <w:p>
      <w:pPr>
        <w:pStyle w:val="Normal"/>
        <w:rPr/>
      </w:pPr>
      <w:r>
        <w:rPr/>
      </w:r>
    </w:p>
    <w:tbl>
      <w:tblPr>
        <w:tblW w:w="18450" w:type="dxa"/>
        <w:jc w:val="start"/>
        <w:tblInd w:w="-432" w:type="dxa"/>
        <w:tblLayout w:type="fixed"/>
        <w:tblCellMar>
          <w:top w:w="0" w:type="dxa"/>
          <w:start w:w="108" w:type="dxa"/>
          <w:bottom w:w="0" w:type="dxa"/>
          <w:end w:w="108" w:type="dxa"/>
        </w:tblCellMar>
      </w:tblPr>
      <w:tblGrid>
        <w:gridCol w:w="1800"/>
        <w:gridCol w:w="1350"/>
        <w:gridCol w:w="1800"/>
        <w:gridCol w:w="2700"/>
        <w:gridCol w:w="1350"/>
        <w:gridCol w:w="2610"/>
        <w:gridCol w:w="3870"/>
        <w:gridCol w:w="2970"/>
      </w:tblGrid>
      <w:tr>
        <w:trPr>
          <w:tblHeader w:val="true"/>
        </w:trPr>
        <w:tc>
          <w:tcPr>
            <w:tcW w:w="1800" w:type="dxa"/>
            <w:tcBorders>
              <w:top w:val="single" w:sz="6" w:space="0" w:color="000000"/>
              <w:start w:val="single" w:sz="6" w:space="0" w:color="000000"/>
              <w:bottom w:val="single" w:sz="6" w:space="0" w:color="000000"/>
              <w:end w:val="single" w:sz="6" w:space="0" w:color="000000"/>
            </w:tcBorders>
            <w:shd w:fill="FFFF00" w:val="clear"/>
          </w:tcPr>
          <w:p>
            <w:pPr>
              <w:pStyle w:val="Normal"/>
              <w:rPr>
                <w:b/>
                <w:sz w:val="24"/>
              </w:rPr>
            </w:pPr>
            <w:r>
              <w:rPr>
                <w:b/>
                <w:sz w:val="24"/>
              </w:rPr>
              <w:t>Project Name</w:t>
            </w:r>
          </w:p>
        </w:tc>
        <w:tc>
          <w:tcPr>
            <w:tcW w:w="135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Risk Area</w:t>
            </w:r>
          </w:p>
        </w:tc>
        <w:tc>
          <w:tcPr>
            <w:tcW w:w="180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Target Activity</w:t>
            </w:r>
          </w:p>
        </w:tc>
        <w:tc>
          <w:tcPr>
            <w:tcW w:w="270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rPr>
              <w:t>Specific Risk Objectives</w:t>
            </w:r>
          </w:p>
        </w:tc>
        <w:tc>
          <w:tcPr>
            <w:tcW w:w="135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shd w:fill="FF0000" w:val="clear"/>
              </w:rPr>
              <w:t>Objective Met?</w:t>
            </w:r>
          </w:p>
        </w:tc>
        <w:tc>
          <w:tcPr>
            <w:tcW w:w="2610" w:type="dxa"/>
            <w:tcBorders>
              <w:top w:val="single" w:sz="6" w:space="0" w:color="000000"/>
              <w:start w:val="single" w:sz="6" w:space="0" w:color="000000"/>
              <w:bottom w:val="single" w:sz="6" w:space="0" w:color="000000"/>
              <w:end w:val="single" w:sz="6" w:space="0" w:color="000000"/>
            </w:tcBorders>
            <w:shd w:fill="800000" w:val="clear"/>
          </w:tcPr>
          <w:p>
            <w:pPr>
              <w:pStyle w:val="Normal"/>
              <w:jc w:val="center"/>
              <w:rPr>
                <w:b/>
                <w:sz w:val="24"/>
              </w:rPr>
            </w:pPr>
            <w:r>
              <w:rPr>
                <w:b/>
                <w:sz w:val="24"/>
              </w:rPr>
              <w:t>Existing Control(s)</w:t>
            </w:r>
          </w:p>
        </w:tc>
        <w:tc>
          <w:tcPr>
            <w:tcW w:w="3870" w:type="dxa"/>
            <w:tcBorders>
              <w:top w:val="single" w:sz="6" w:space="0" w:color="000000"/>
              <w:start w:val="single" w:sz="6" w:space="0" w:color="000000"/>
              <w:bottom w:val="single" w:sz="6" w:space="0" w:color="000000"/>
              <w:end w:val="single" w:sz="6" w:space="0" w:color="000000"/>
            </w:tcBorders>
            <w:shd w:fill="0000FF" w:val="clear"/>
          </w:tcPr>
          <w:p>
            <w:pPr>
              <w:pStyle w:val="Normal"/>
              <w:jc w:val="center"/>
              <w:rPr>
                <w:b/>
                <w:sz w:val="24"/>
              </w:rPr>
            </w:pPr>
            <w:r>
              <w:rPr>
                <w:b/>
                <w:sz w:val="24"/>
              </w:rPr>
              <w:t>Findings</w:t>
            </w:r>
          </w:p>
        </w:tc>
        <w:tc>
          <w:tcPr>
            <w:tcW w:w="2970"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b/>
                <w:sz w:val="24"/>
              </w:rPr>
            </w:pPr>
            <w:r>
              <w:rPr>
                <w:b/>
                <w:sz w:val="24"/>
              </w:rPr>
              <w:t>Recommendation,</w:t>
            </w:r>
          </w:p>
          <w:p>
            <w:pPr>
              <w:pStyle w:val="Normal"/>
              <w:jc w:val="center"/>
              <w:rPr>
                <w:b/>
                <w:sz w:val="24"/>
              </w:rPr>
            </w:pPr>
            <w:r>
              <w:rPr>
                <w:b/>
                <w:sz w:val="24"/>
              </w:rPr>
              <w:t>Person &amp; Target Date</w:t>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rPr>
                <w:i/>
                <w:i/>
                <w:sz w:val="18"/>
                <w:u w:val="single"/>
              </w:rPr>
            </w:pPr>
            <w:r>
              <w:rPr>
                <w:i/>
                <w:sz w:val="18"/>
                <w:u w:val="single"/>
              </w:rPr>
              <w:t>MAPS Project</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Systems</w:t>
            </w:r>
          </w:p>
        </w:tc>
        <w:tc>
          <w:tcPr>
            <w:tcW w:w="18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Access and Security</w:t>
            </w:r>
          </w:p>
        </w:tc>
        <w:tc>
          <w:tcPr>
            <w:tcW w:w="27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Information within MAPS is used by appropriate parties.</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Yes</w:t>
            </w:r>
          </w:p>
        </w:tc>
        <w:tc>
          <w:tcPr>
            <w:tcW w:w="2610" w:type="dxa"/>
            <w:tcBorders>
              <w:top w:val="single" w:sz="6" w:space="0" w:color="000000"/>
              <w:start w:val="single" w:sz="6" w:space="0" w:color="000000"/>
              <w:bottom w:val="single" w:sz="6" w:space="0" w:color="000000"/>
              <w:end w:val="single" w:sz="6" w:space="0" w:color="000000"/>
            </w:tcBorders>
          </w:tcPr>
          <w:p>
            <w:pPr>
              <w:pStyle w:val="Normal"/>
              <w:numPr>
                <w:ilvl w:val="0"/>
                <w:numId w:val="10"/>
              </w:numPr>
              <w:tabs>
                <w:tab w:val="clear" w:pos="720"/>
                <w:tab w:val="left" w:pos="2160" w:leader="none"/>
              </w:tabs>
              <w:rPr>
                <w:sz w:val="18"/>
              </w:rPr>
            </w:pPr>
            <w:r>
              <w:rPr>
                <w:sz w:val="18"/>
              </w:rPr>
              <w:t>Access is granted to limited users.</w:t>
            </w:r>
          </w:p>
          <w:p>
            <w:pPr>
              <w:pStyle w:val="Normal"/>
              <w:tabs>
                <w:tab w:val="clear" w:pos="720"/>
                <w:tab w:val="left" w:pos="2160" w:leader="none"/>
              </w:tabs>
              <w:rPr>
                <w:sz w:val="18"/>
              </w:rPr>
            </w:pPr>
            <w:r>
              <w:rPr>
                <w:sz w:val="18"/>
              </w:rPr>
            </w:r>
          </w:p>
          <w:p>
            <w:pPr>
              <w:pStyle w:val="Normal"/>
              <w:numPr>
                <w:ilvl w:val="0"/>
                <w:numId w:val="10"/>
              </w:numPr>
              <w:tabs>
                <w:tab w:val="clear" w:pos="720"/>
                <w:tab w:val="left" w:pos="2160" w:leader="none"/>
              </w:tabs>
              <w:rPr>
                <w:sz w:val="18"/>
              </w:rPr>
            </w:pPr>
            <w:r>
              <w:rPr>
                <w:sz w:val="18"/>
              </w:rPr>
              <w:t>Information is password protected.</w:t>
            </w:r>
          </w:p>
          <w:p>
            <w:pPr>
              <w:pStyle w:val="Normal"/>
              <w:tabs>
                <w:tab w:val="clear" w:pos="720"/>
                <w:tab w:val="left" w:pos="2160" w:leader="none"/>
              </w:tabs>
              <w:rPr>
                <w:sz w:val="18"/>
              </w:rPr>
            </w:pPr>
            <w:r>
              <w:rPr>
                <w:sz w:val="18"/>
              </w:rPr>
            </w:r>
          </w:p>
          <w:p>
            <w:pPr>
              <w:pStyle w:val="Normal"/>
              <w:numPr>
                <w:ilvl w:val="0"/>
                <w:numId w:val="10"/>
              </w:numPr>
              <w:tabs>
                <w:tab w:val="clear" w:pos="720"/>
                <w:tab w:val="left" w:pos="2160" w:leader="none"/>
              </w:tabs>
              <w:rPr>
                <w:sz w:val="18"/>
              </w:rPr>
            </w:pPr>
            <w:r>
              <w:rPr>
                <w:sz w:val="18"/>
              </w:rPr>
              <w:t>Information is read-only format.</w:t>
            </w:r>
          </w:p>
        </w:tc>
        <w:tc>
          <w:tcPr>
            <w:tcW w:w="3870" w:type="dxa"/>
            <w:tcBorders>
              <w:top w:val="single" w:sz="6" w:space="0" w:color="000000"/>
              <w:start w:val="single" w:sz="6" w:space="0" w:color="000000"/>
              <w:bottom w:val="single" w:sz="6" w:space="0" w:color="000000"/>
              <w:end w:val="single" w:sz="6" w:space="0" w:color="000000"/>
            </w:tcBorders>
          </w:tcPr>
          <w:p>
            <w:pPr>
              <w:pStyle w:val="Normal"/>
              <w:numPr>
                <w:ilvl w:val="0"/>
                <w:numId w:val="11"/>
              </w:numPr>
              <w:tabs>
                <w:tab w:val="clear" w:pos="720"/>
                <w:tab w:val="left" w:pos="2160" w:leader="none"/>
              </w:tabs>
              <w:rPr>
                <w:sz w:val="18"/>
              </w:rPr>
            </w:pPr>
            <w:r>
              <w:rPr>
                <w:sz w:val="18"/>
              </w:rPr>
              <w:t>None</w:t>
            </w:r>
          </w:p>
        </w:tc>
        <w:tc>
          <w:tcPr>
            <w:tcW w:w="2970" w:type="dxa"/>
            <w:tcBorders>
              <w:top w:val="single" w:sz="6" w:space="0" w:color="000000"/>
              <w:start w:val="single" w:sz="6" w:space="0" w:color="000000"/>
              <w:bottom w:val="single" w:sz="6" w:space="0" w:color="000000"/>
              <w:end w:val="single" w:sz="6" w:space="0" w:color="000000"/>
            </w:tcBorders>
          </w:tcPr>
          <w:p>
            <w:pPr>
              <w:pStyle w:val="Normal"/>
              <w:numPr>
                <w:ilvl w:val="0"/>
                <w:numId w:val="19"/>
              </w:numPr>
              <w:tabs>
                <w:tab w:val="clear" w:pos="720"/>
                <w:tab w:val="left" w:pos="2160" w:leader="none"/>
              </w:tabs>
              <w:rPr>
                <w:sz w:val="18"/>
              </w:rPr>
            </w:pPr>
            <w:r>
              <w:rPr>
                <w:sz w:val="18"/>
              </w:rPr>
              <w:t>None</w:t>
            </w:r>
          </w:p>
        </w:tc>
      </w:tr>
      <w:tr>
        <w:trPr>
          <w:trHeight w:val="5133"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i/>
                <w:i/>
                <w:sz w:val="18"/>
                <w:u w:val="single"/>
              </w:rPr>
            </w:pPr>
            <w:r>
              <w:rPr>
                <w:i/>
                <w:sz w:val="18"/>
                <w:u w:val="single"/>
              </w:rPr>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Strategy/ Business Portfolio</w:t>
            </w:r>
          </w:p>
        </w:tc>
        <w:tc>
          <w:tcPr>
            <w:tcW w:w="18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Strategic Portfolio Management</w:t>
            </w:r>
          </w:p>
        </w:tc>
        <w:tc>
          <w:tcPr>
            <w:tcW w:w="27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Reconciliations are performed to ensure timely, complete and accurate data capture.</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Yes</w:t>
            </w:r>
          </w:p>
        </w:tc>
        <w:tc>
          <w:tcPr>
            <w:tcW w:w="2610" w:type="dxa"/>
            <w:tcBorders>
              <w:top w:val="single" w:sz="6" w:space="0" w:color="000000"/>
              <w:start w:val="single" w:sz="6" w:space="0" w:color="000000"/>
              <w:bottom w:val="single" w:sz="6" w:space="0" w:color="000000"/>
              <w:end w:val="single" w:sz="6" w:space="0" w:color="000000"/>
            </w:tcBorders>
          </w:tcPr>
          <w:p>
            <w:pPr>
              <w:pStyle w:val="Normal"/>
              <w:numPr>
                <w:ilvl w:val="0"/>
                <w:numId w:val="5"/>
              </w:numPr>
              <w:tabs>
                <w:tab w:val="clear" w:pos="720"/>
                <w:tab w:val="left" w:pos="2160" w:leader="none"/>
              </w:tabs>
              <w:rPr>
                <w:sz w:val="18"/>
              </w:rPr>
            </w:pPr>
            <w:r>
              <w:rPr>
                <w:sz w:val="18"/>
              </w:rPr>
              <w:t>Accounting reconciles deal information to the general ledger monthly.</w:t>
            </w:r>
          </w:p>
          <w:p>
            <w:pPr>
              <w:pStyle w:val="Normal"/>
              <w:tabs>
                <w:tab w:val="clear" w:pos="720"/>
                <w:tab w:val="left" w:pos="2160" w:leader="none"/>
              </w:tabs>
              <w:rPr>
                <w:sz w:val="18"/>
              </w:rPr>
            </w:pPr>
            <w:r>
              <w:rPr>
                <w:sz w:val="18"/>
              </w:rPr>
            </w:r>
          </w:p>
          <w:p>
            <w:pPr>
              <w:pStyle w:val="Normal"/>
              <w:numPr>
                <w:ilvl w:val="0"/>
                <w:numId w:val="5"/>
              </w:numPr>
              <w:tabs>
                <w:tab w:val="clear" w:pos="720"/>
                <w:tab w:val="left" w:pos="2160" w:leader="none"/>
              </w:tabs>
              <w:rPr>
                <w:sz w:val="18"/>
              </w:rPr>
            </w:pPr>
            <w:r>
              <w:rPr>
                <w:sz w:val="18"/>
              </w:rPr>
              <w:t>RAC randomly reconciles populated data between the Investment Valuation Model and a hardcopy of the RASH before it is attached in MAPS.</w:t>
            </w:r>
          </w:p>
          <w:p>
            <w:pPr>
              <w:pStyle w:val="Normal"/>
              <w:tabs>
                <w:tab w:val="clear" w:pos="720"/>
                <w:tab w:val="left" w:pos="2160" w:leader="none"/>
              </w:tabs>
              <w:rPr>
                <w:sz w:val="18"/>
              </w:rPr>
            </w:pPr>
            <w:r>
              <w:rPr>
                <w:sz w:val="18"/>
              </w:rPr>
            </w:r>
          </w:p>
          <w:p>
            <w:pPr>
              <w:pStyle w:val="Normal"/>
              <w:numPr>
                <w:ilvl w:val="0"/>
                <w:numId w:val="5"/>
              </w:numPr>
              <w:tabs>
                <w:tab w:val="clear" w:pos="720"/>
                <w:tab w:val="left" w:pos="2160" w:leader="none"/>
              </w:tabs>
              <w:rPr>
                <w:sz w:val="18"/>
              </w:rPr>
            </w:pPr>
            <w:r>
              <w:rPr>
                <w:sz w:val="18"/>
              </w:rPr>
              <w:t>Accounting information in MAPS that is not reconciled to the general ledger is noted in red in the Deal Tracking Module for each asset.  Accounting information that has been reconciled is noted in black.</w:t>
            </w:r>
          </w:p>
        </w:tc>
        <w:tc>
          <w:tcPr>
            <w:tcW w:w="3870" w:type="dxa"/>
            <w:tcBorders>
              <w:top w:val="single" w:sz="6" w:space="0" w:color="000000"/>
              <w:start w:val="single" w:sz="6" w:space="0" w:color="000000"/>
              <w:bottom w:val="single" w:sz="6" w:space="0" w:color="000000"/>
              <w:end w:val="single" w:sz="6" w:space="0" w:color="000000"/>
            </w:tcBorders>
          </w:tcPr>
          <w:p>
            <w:pPr>
              <w:pStyle w:val="Normal"/>
              <w:numPr>
                <w:ilvl w:val="0"/>
                <w:numId w:val="16"/>
              </w:numPr>
              <w:tabs>
                <w:tab w:val="clear" w:pos="720"/>
                <w:tab w:val="left" w:pos="2160" w:leader="none"/>
              </w:tabs>
              <w:rPr>
                <w:sz w:val="18"/>
              </w:rPr>
            </w:pPr>
            <w:r>
              <w:rPr>
                <w:sz w:val="18"/>
              </w:rPr>
              <w:t>The DASH that is scanned into MAPS should be the finalized DASH that has been reconciled to closing documents by RAC.</w:t>
            </w:r>
          </w:p>
          <w:p>
            <w:pPr>
              <w:pStyle w:val="Normal"/>
              <w:tabs>
                <w:tab w:val="clear" w:pos="720"/>
                <w:tab w:val="left" w:pos="2160" w:leader="none"/>
              </w:tabs>
              <w:rPr>
                <w:sz w:val="18"/>
              </w:rPr>
            </w:pPr>
            <w:r>
              <w:rPr>
                <w:sz w:val="18"/>
              </w:rPr>
            </w:r>
          </w:p>
          <w:p>
            <w:pPr>
              <w:pStyle w:val="Normal"/>
              <w:numPr>
                <w:ilvl w:val="0"/>
                <w:numId w:val="16"/>
              </w:numPr>
              <w:tabs>
                <w:tab w:val="clear" w:pos="720"/>
                <w:tab w:val="left" w:pos="2160" w:leader="none"/>
              </w:tabs>
              <w:rPr>
                <w:sz w:val="18"/>
              </w:rPr>
            </w:pPr>
            <w:r>
              <w:rPr>
                <w:sz w:val="18"/>
              </w:rPr>
              <w:t>AALLP selected twenty samples of investments for reconciliation between MAPS Deal Tracking and the Deal Approval Sheets (DASH).  Testing performed uncovered inconsistencies between the DASH and the Deal Tracking Module.</w:t>
            </w:r>
          </w:p>
        </w:tc>
        <w:tc>
          <w:tcPr>
            <w:tcW w:w="2970" w:type="dxa"/>
            <w:tcBorders>
              <w:top w:val="single" w:sz="6" w:space="0" w:color="000000"/>
              <w:start w:val="single" w:sz="6" w:space="0" w:color="000000"/>
              <w:bottom w:val="single" w:sz="6" w:space="0" w:color="000000"/>
              <w:end w:val="single" w:sz="6" w:space="0" w:color="000000"/>
            </w:tcBorders>
          </w:tcPr>
          <w:p>
            <w:pPr>
              <w:pStyle w:val="Normal"/>
              <w:numPr>
                <w:ilvl w:val="0"/>
                <w:numId w:val="4"/>
              </w:numPr>
              <w:tabs>
                <w:tab w:val="clear" w:pos="720"/>
                <w:tab w:val="left" w:pos="2160" w:leader="none"/>
              </w:tabs>
              <w:rPr>
                <w:sz w:val="18"/>
              </w:rPr>
            </w:pPr>
            <w:r>
              <w:rPr>
                <w:sz w:val="18"/>
              </w:rPr>
              <w:t>All scanned DASHs should be reconciled to a hard copy of the final executed DASH.</w:t>
            </w:r>
          </w:p>
          <w:p>
            <w:pPr>
              <w:pStyle w:val="Normal"/>
              <w:tabs>
                <w:tab w:val="clear" w:pos="720"/>
                <w:tab w:val="left" w:pos="2160" w:leader="none"/>
              </w:tabs>
              <w:rPr>
                <w:sz w:val="18"/>
              </w:rPr>
            </w:pPr>
            <w:r>
              <w:rPr>
                <w:sz w:val="18"/>
              </w:rPr>
            </w:r>
          </w:p>
          <w:p>
            <w:pPr>
              <w:pStyle w:val="Normal"/>
              <w:numPr>
                <w:ilvl w:val="0"/>
                <w:numId w:val="4"/>
              </w:numPr>
              <w:tabs>
                <w:tab w:val="clear" w:pos="720"/>
                <w:tab w:val="left" w:pos="2160" w:leader="none"/>
              </w:tabs>
              <w:rPr>
                <w:sz w:val="18"/>
              </w:rPr>
            </w:pPr>
            <w:r>
              <w:rPr>
                <w:sz w:val="18"/>
              </w:rPr>
              <w:t>CTG should communicate with underwriting to ensure they receive the final executed DASH.</w:t>
            </w:r>
          </w:p>
          <w:p>
            <w:pPr>
              <w:pStyle w:val="Normal"/>
              <w:tabs>
                <w:tab w:val="clear" w:pos="720"/>
                <w:tab w:val="left" w:pos="2160" w:leader="none"/>
              </w:tabs>
              <w:rPr>
                <w:sz w:val="18"/>
              </w:rPr>
            </w:pPr>
            <w:r>
              <w:rPr>
                <w:sz w:val="18"/>
              </w:rPr>
            </w:r>
          </w:p>
          <w:p>
            <w:pPr>
              <w:pStyle w:val="Normal"/>
              <w:numPr>
                <w:ilvl w:val="0"/>
                <w:numId w:val="4"/>
              </w:numPr>
              <w:tabs>
                <w:tab w:val="clear" w:pos="720"/>
                <w:tab w:val="left" w:pos="2160" w:leader="none"/>
              </w:tabs>
              <w:rPr>
                <w:sz w:val="18"/>
              </w:rPr>
            </w:pPr>
            <w:r>
              <w:rPr>
                <w:sz w:val="18"/>
              </w:rPr>
              <w:t>All items on the DASH should be reconciled with the information in the Deal Tracking Module.</w:t>
            </w:r>
          </w:p>
          <w:p>
            <w:pPr>
              <w:pStyle w:val="Normal"/>
              <w:tabs>
                <w:tab w:val="clear" w:pos="720"/>
                <w:tab w:val="left" w:pos="2160" w:leader="none"/>
              </w:tabs>
              <w:rPr>
                <w:sz w:val="18"/>
              </w:rPr>
            </w:pPr>
            <w:r>
              <w:rPr>
                <w:sz w:val="18"/>
              </w:rPr>
            </w:r>
          </w:p>
          <w:p>
            <w:pPr>
              <w:pStyle w:val="Normal"/>
              <w:numPr>
                <w:ilvl w:val="0"/>
                <w:numId w:val="4"/>
              </w:numPr>
              <w:tabs>
                <w:tab w:val="clear" w:pos="720"/>
                <w:tab w:val="left" w:pos="2160" w:leader="none"/>
              </w:tabs>
              <w:rPr>
                <w:sz w:val="18"/>
              </w:rPr>
            </w:pPr>
            <w:r>
              <w:rPr>
                <w:sz w:val="18"/>
              </w:rPr>
              <w:t>New deal information entered into the Deal Tracking Module should be reviewed and validated independent of data input.</w:t>
            </w:r>
          </w:p>
          <w:p>
            <w:pPr>
              <w:pStyle w:val="Normal"/>
              <w:tabs>
                <w:tab w:val="clear" w:pos="720"/>
                <w:tab w:val="left" w:pos="2160" w:leader="none"/>
              </w:tabs>
              <w:rPr>
                <w:sz w:val="18"/>
              </w:rPr>
            </w:pPr>
            <w:r>
              <w:rPr>
                <w:sz w:val="18"/>
              </w:rPr>
            </w:r>
          </w:p>
        </w:tc>
      </w:tr>
      <w:tr>
        <w:trPr>
          <w:trHeight w:val="85"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i/>
                <w:i/>
                <w:sz w:val="18"/>
                <w:u w:val="single"/>
              </w:rPr>
            </w:pPr>
            <w:r>
              <w:rPr>
                <w:i/>
                <w:sz w:val="18"/>
                <w:u w:val="single"/>
              </w:rPr>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Systems</w:t>
            </w:r>
          </w:p>
        </w:tc>
        <w:tc>
          <w:tcPr>
            <w:tcW w:w="18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Infrastructure, Access and Security</w:t>
            </w:r>
          </w:p>
        </w:tc>
        <w:tc>
          <w:tcPr>
            <w:tcW w:w="27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Controls over key calculations, interfaces, and data validation checks are sufficient to preserve data integrity.</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Yes</w:t>
            </w:r>
          </w:p>
        </w:tc>
        <w:tc>
          <w:tcPr>
            <w:tcW w:w="2610" w:type="dxa"/>
            <w:tcBorders>
              <w:top w:val="single" w:sz="6" w:space="0" w:color="000000"/>
              <w:start w:val="single" w:sz="6" w:space="0" w:color="000000"/>
              <w:bottom w:val="single" w:sz="6" w:space="0" w:color="000000"/>
              <w:end w:val="single" w:sz="6" w:space="0" w:color="000000"/>
            </w:tcBorders>
          </w:tcPr>
          <w:p>
            <w:pPr>
              <w:pStyle w:val="Normal"/>
              <w:numPr>
                <w:ilvl w:val="0"/>
                <w:numId w:val="18"/>
              </w:numPr>
              <w:tabs>
                <w:tab w:val="clear" w:pos="720"/>
                <w:tab w:val="left" w:pos="2160" w:leader="none"/>
              </w:tabs>
              <w:rPr>
                <w:sz w:val="18"/>
              </w:rPr>
            </w:pPr>
            <w:r>
              <w:rPr>
                <w:sz w:val="18"/>
              </w:rPr>
              <w:t>An exception report is automatically printed by MAPS whenever there is a discrepancy between uploaded information and MAPS.</w:t>
            </w:r>
          </w:p>
          <w:p>
            <w:pPr>
              <w:pStyle w:val="Normal"/>
              <w:tabs>
                <w:tab w:val="clear" w:pos="720"/>
                <w:tab w:val="left" w:pos="2160" w:leader="none"/>
              </w:tabs>
              <w:rPr>
                <w:sz w:val="18"/>
              </w:rPr>
            </w:pPr>
            <w:r>
              <w:rPr>
                <w:sz w:val="18"/>
              </w:rPr>
            </w:r>
          </w:p>
          <w:p>
            <w:pPr>
              <w:pStyle w:val="Normal"/>
              <w:numPr>
                <w:ilvl w:val="0"/>
                <w:numId w:val="18"/>
              </w:numPr>
              <w:tabs>
                <w:tab w:val="clear" w:pos="720"/>
                <w:tab w:val="left" w:pos="2160" w:leader="none"/>
              </w:tabs>
              <w:rPr>
                <w:sz w:val="18"/>
              </w:rPr>
            </w:pPr>
            <w:r>
              <w:rPr>
                <w:sz w:val="18"/>
              </w:rPr>
              <w:t>Model attachments are verified quarterly by a RAC manager to assure all revalued models were attached properly into MAPS.</w:t>
            </w:r>
          </w:p>
        </w:tc>
        <w:tc>
          <w:tcPr>
            <w:tcW w:w="3870" w:type="dxa"/>
            <w:tcBorders>
              <w:top w:val="single" w:sz="6" w:space="0" w:color="000000"/>
              <w:start w:val="single" w:sz="6" w:space="0" w:color="000000"/>
              <w:bottom w:val="single" w:sz="6" w:space="0" w:color="000000"/>
              <w:end w:val="single" w:sz="6" w:space="0" w:color="000000"/>
            </w:tcBorders>
          </w:tcPr>
          <w:p>
            <w:pPr>
              <w:pStyle w:val="Normal"/>
              <w:numPr>
                <w:ilvl w:val="0"/>
                <w:numId w:val="9"/>
              </w:numPr>
              <w:tabs>
                <w:tab w:val="clear" w:pos="720"/>
                <w:tab w:val="left" w:pos="2160" w:leader="none"/>
              </w:tabs>
              <w:rPr>
                <w:sz w:val="18"/>
              </w:rPr>
            </w:pPr>
            <w:r>
              <w:rPr>
                <w:sz w:val="18"/>
              </w:rPr>
              <w:t>None</w:t>
            </w:r>
          </w:p>
        </w:tc>
        <w:tc>
          <w:tcPr>
            <w:tcW w:w="2970" w:type="dxa"/>
            <w:tcBorders>
              <w:top w:val="single" w:sz="6" w:space="0" w:color="000000"/>
              <w:start w:val="single" w:sz="6" w:space="0" w:color="000000"/>
              <w:bottom w:val="single" w:sz="6" w:space="0" w:color="000000"/>
              <w:end w:val="single" w:sz="6" w:space="0" w:color="000000"/>
            </w:tcBorders>
          </w:tcPr>
          <w:p>
            <w:pPr>
              <w:pStyle w:val="Normal"/>
              <w:numPr>
                <w:ilvl w:val="0"/>
                <w:numId w:val="12"/>
              </w:numPr>
              <w:tabs>
                <w:tab w:val="clear" w:pos="720"/>
                <w:tab w:val="left" w:pos="2160" w:leader="none"/>
              </w:tabs>
              <w:rPr>
                <w:sz w:val="18"/>
              </w:rPr>
            </w:pPr>
            <w:r>
              <w:rPr>
                <w:sz w:val="18"/>
              </w:rPr>
              <w:t>None</w:t>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Information Systems</w:t>
            </w:r>
          </w:p>
        </w:tc>
        <w:tc>
          <w:tcPr>
            <w:tcW w:w="18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Critical Applications</w:t>
            </w:r>
          </w:p>
        </w:tc>
        <w:tc>
          <w:tcPr>
            <w:tcW w:w="27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Data is captured, stored and transferred completely and accurately</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No</w:t>
            </w:r>
          </w:p>
        </w:tc>
        <w:tc>
          <w:tcPr>
            <w:tcW w:w="2610" w:type="dxa"/>
            <w:tcBorders>
              <w:top w:val="single" w:sz="6" w:space="0" w:color="000000"/>
              <w:start w:val="single" w:sz="6" w:space="0" w:color="000000"/>
              <w:bottom w:val="single" w:sz="6" w:space="0" w:color="000000"/>
              <w:end w:val="single" w:sz="6" w:space="0" w:color="000000"/>
            </w:tcBorders>
          </w:tcPr>
          <w:p>
            <w:pPr>
              <w:pStyle w:val="Normal"/>
              <w:numPr>
                <w:ilvl w:val="0"/>
                <w:numId w:val="6"/>
              </w:numPr>
              <w:tabs>
                <w:tab w:val="clear" w:pos="720"/>
                <w:tab w:val="left" w:pos="2160" w:leader="none"/>
              </w:tabs>
              <w:rPr>
                <w:sz w:val="18"/>
              </w:rPr>
            </w:pPr>
            <w:r>
              <w:rPr>
                <w:sz w:val="18"/>
              </w:rPr>
              <w:t>None</w:t>
            </w:r>
          </w:p>
        </w:tc>
        <w:tc>
          <w:tcPr>
            <w:tcW w:w="3870" w:type="dxa"/>
            <w:tcBorders>
              <w:top w:val="single" w:sz="6" w:space="0" w:color="000000"/>
              <w:start w:val="single" w:sz="6" w:space="0" w:color="000000"/>
              <w:bottom w:val="single" w:sz="6" w:space="0" w:color="000000"/>
              <w:end w:val="single" w:sz="6" w:space="0" w:color="000000"/>
            </w:tcBorders>
          </w:tcPr>
          <w:p>
            <w:pPr>
              <w:pStyle w:val="Normal"/>
              <w:numPr>
                <w:ilvl w:val="0"/>
                <w:numId w:val="14"/>
              </w:numPr>
              <w:rPr>
                <w:sz w:val="18"/>
              </w:rPr>
            </w:pPr>
            <w:r>
              <w:rPr>
                <w:sz w:val="18"/>
              </w:rPr>
              <w:t>Prior month adjustments to cash flow information in the MIDAS database are not replicated to the MAPS system.  The MAPS database does not receive any information from Accounting pertinent to prior months.  Any prior month adjustments to actual cash flow data will go unrecognized in MAPS.</w:t>
            </w:r>
          </w:p>
          <w:p>
            <w:pPr>
              <w:pStyle w:val="Normal"/>
              <w:rPr>
                <w:sz w:val="18"/>
              </w:rPr>
            </w:pPr>
            <w:r>
              <w:rPr>
                <w:sz w:val="18"/>
              </w:rPr>
            </w:r>
          </w:p>
          <w:p>
            <w:pPr>
              <w:pStyle w:val="Normal"/>
              <w:numPr>
                <w:ilvl w:val="0"/>
                <w:numId w:val="17"/>
              </w:numPr>
              <w:tabs>
                <w:tab w:val="clear" w:pos="720"/>
                <w:tab w:val="left" w:pos="2160" w:leader="none"/>
              </w:tabs>
              <w:rPr>
                <w:sz w:val="18"/>
              </w:rPr>
            </w:pPr>
            <w:r>
              <w:rPr>
                <w:sz w:val="18"/>
              </w:rPr>
              <w:t>Actual cash flows from Accounting may be incorrectly attached to wrong deal legs. Deal legs in MAPS have a Deal Leg ID to which cash flows from the MIDAS database are mapped. Accounting personnel manually input this ID into the MIDAS database from a printout from MAPS.  If the ID is incorrectly entered, and matches an existing deal leg number, actual cashflows can be attached to the wrong deal leg.  Data is transferred between these systems weekly, yet reconciled only monthly.  Therefore, for three weeks of the month the data in MAPS could be incorrect.</w:t>
            </w:r>
          </w:p>
        </w:tc>
        <w:tc>
          <w:tcPr>
            <w:tcW w:w="2970" w:type="dxa"/>
            <w:tcBorders>
              <w:top w:val="single" w:sz="6" w:space="0" w:color="000000"/>
              <w:start w:val="single" w:sz="6" w:space="0" w:color="000000"/>
              <w:bottom w:val="single" w:sz="6" w:space="0" w:color="000000"/>
              <w:end w:val="single" w:sz="6" w:space="0" w:color="000000"/>
            </w:tcBorders>
          </w:tcPr>
          <w:p>
            <w:pPr>
              <w:pStyle w:val="Normal"/>
              <w:numPr>
                <w:ilvl w:val="0"/>
                <w:numId w:val="8"/>
              </w:numPr>
              <w:tabs>
                <w:tab w:val="clear" w:pos="720"/>
                <w:tab w:val="left" w:pos="252" w:leader="none"/>
              </w:tabs>
              <w:rPr>
                <w:sz w:val="18"/>
              </w:rPr>
            </w:pPr>
            <w:r>
              <w:rPr>
                <w:sz w:val="18"/>
              </w:rPr>
              <w:t xml:space="preserve">Management should put into place a formal process for notifying MAPS of any changes in prior month transactions.  </w:t>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numPr>
                <w:ilvl w:val="0"/>
                <w:numId w:val="8"/>
              </w:numPr>
              <w:tabs>
                <w:tab w:val="clear" w:pos="720"/>
                <w:tab w:val="left" w:pos="252" w:leader="none"/>
              </w:tabs>
              <w:rPr>
                <w:sz w:val="18"/>
              </w:rPr>
            </w:pPr>
            <w:r>
              <w:rPr>
                <w:sz w:val="18"/>
              </w:rPr>
              <w:t>The process of attaching cash flows to deal legs should be automated.  By allowing accounting direct views of the Deal Leg IDs for downloading into the MIDAS database, the risk that cash flows are incorrectly attached to wrong deal legs would be significantly reduced.</w:t>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i/>
                <w:i/>
                <w:sz w:val="18"/>
                <w:u w:val="single"/>
              </w:rPr>
            </w:pPr>
            <w:r>
              <w:rPr>
                <w:i/>
                <w:sz w:val="18"/>
                <w:u w:val="single"/>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i/>
                <w:i/>
                <w:sz w:val="18"/>
                <w:u w:val="single"/>
              </w:rPr>
            </w:pPr>
            <w:r>
              <w:rPr>
                <w:i/>
                <w:sz w:val="18"/>
                <w:u w:val="single"/>
              </w:rPr>
            </w:r>
          </w:p>
        </w:tc>
        <w:tc>
          <w:tcPr>
            <w:tcW w:w="18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tabs>
                <w:tab w:val="clear" w:pos="720"/>
                <w:tab w:val="left" w:pos="2520" w:leader="none"/>
                <w:tab w:val="left" w:pos="2700" w:leader="none"/>
              </w:tabs>
              <w:ind w:hanging="0" w:start="0"/>
              <w:rPr>
                <w:sz w:val="18"/>
              </w:rPr>
            </w:pPr>
            <w:r>
              <w:rPr>
                <w:sz w:val="18"/>
              </w:rPr>
              <w:t>Access and Security</w:t>
            </w:r>
          </w:p>
          <w:p>
            <w:pPr>
              <w:pStyle w:val="Normal"/>
              <w:numPr>
                <w:ilvl w:val="0"/>
                <w:numId w:val="0"/>
              </w:numPr>
              <w:tabs>
                <w:tab w:val="clear" w:pos="720"/>
                <w:tab w:val="left" w:pos="2520" w:leader="none"/>
                <w:tab w:val="left" w:pos="2700" w:leader="none"/>
              </w:tabs>
              <w:ind w:hanging="0" w:start="0"/>
              <w:rPr>
                <w:sz w:val="18"/>
              </w:rPr>
            </w:pPr>
            <w:r>
              <w:rPr>
                <w:sz w:val="18"/>
              </w:rPr>
            </w:r>
          </w:p>
          <w:p>
            <w:pPr>
              <w:pStyle w:val="Normal"/>
              <w:numPr>
                <w:ilvl w:val="0"/>
                <w:numId w:val="0"/>
              </w:numPr>
              <w:tabs>
                <w:tab w:val="clear" w:pos="720"/>
                <w:tab w:val="left" w:pos="2520" w:leader="none"/>
                <w:tab w:val="left" w:pos="2700" w:leader="none"/>
              </w:tabs>
              <w:ind w:hanging="0" w:start="0"/>
              <w:rPr>
                <w:sz w:val="18"/>
              </w:rPr>
            </w:pPr>
            <w:r>
              <w:rPr>
                <w:sz w:val="18"/>
              </w:rPr>
            </w:r>
          </w:p>
        </w:tc>
        <w:tc>
          <w:tcPr>
            <w:tcW w:w="27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18"/>
              </w:rPr>
            </w:pPr>
            <w:r>
              <w:rPr>
                <w:sz w:val="18"/>
              </w:rPr>
              <w:t>Logical security provides adequate protection over key data</w:t>
            </w:r>
          </w:p>
          <w:p>
            <w:pPr>
              <w:pStyle w:val="Normal"/>
              <w:numPr>
                <w:ilvl w:val="0"/>
                <w:numId w:val="0"/>
              </w:numPr>
              <w:ind w:hanging="0" w:start="0"/>
              <w:rPr>
                <w:sz w:val="18"/>
              </w:rPr>
            </w:pPr>
            <w:r>
              <w:rPr>
                <w:sz w:val="18"/>
              </w:rPr>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No</w:t>
            </w:r>
          </w:p>
        </w:tc>
        <w:tc>
          <w:tcPr>
            <w:tcW w:w="2610"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162" w:leader="none"/>
              </w:tabs>
              <w:rPr>
                <w:sz w:val="18"/>
              </w:rPr>
            </w:pPr>
            <w:r>
              <w:rPr>
                <w:sz w:val="18"/>
              </w:rPr>
              <w:t>None</w:t>
            </w:r>
          </w:p>
        </w:tc>
        <w:tc>
          <w:tcPr>
            <w:tcW w:w="3870" w:type="dxa"/>
            <w:tcBorders>
              <w:top w:val="single" w:sz="6" w:space="0" w:color="000000"/>
              <w:start w:val="single" w:sz="6" w:space="0" w:color="000000"/>
              <w:bottom w:val="single" w:sz="6" w:space="0" w:color="000000"/>
              <w:end w:val="single" w:sz="6" w:space="0" w:color="000000"/>
            </w:tcBorders>
          </w:tcPr>
          <w:p>
            <w:pPr>
              <w:pStyle w:val="Normal"/>
              <w:numPr>
                <w:ilvl w:val="0"/>
                <w:numId w:val="15"/>
              </w:numPr>
              <w:rPr>
                <w:sz w:val="18"/>
              </w:rPr>
            </w:pPr>
            <w:r>
              <w:rPr>
                <w:sz w:val="18"/>
              </w:rPr>
              <w:t>Security for deal-models (Excel spreadsheets) stored in a directory accessible only to MAPS users relies on the users not knowing the directory path.  These models are stored read-only; however, a user could delete the current model and replace it with a different model.</w:t>
            </w:r>
          </w:p>
        </w:tc>
        <w:tc>
          <w:tcPr>
            <w:tcW w:w="2970" w:type="dxa"/>
            <w:tcBorders>
              <w:top w:val="single" w:sz="6" w:space="0" w:color="000000"/>
              <w:start w:val="single" w:sz="6" w:space="0" w:color="000000"/>
              <w:bottom w:val="single" w:sz="6" w:space="0" w:color="000000"/>
              <w:end w:val="single" w:sz="6" w:space="0" w:color="000000"/>
            </w:tcBorders>
          </w:tcPr>
          <w:p>
            <w:pPr>
              <w:pStyle w:val="Normal"/>
              <w:numPr>
                <w:ilvl w:val="0"/>
                <w:numId w:val="3"/>
              </w:numPr>
              <w:rPr>
                <w:sz w:val="18"/>
              </w:rPr>
            </w:pPr>
            <w:r>
              <w:rPr>
                <w:sz w:val="18"/>
              </w:rPr>
              <w:t>Access to the directory these spreadsheets are stored in should be either protected or restricted to only those personnel authorized to view the directory's contents.</w:t>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i/>
                <w:i/>
                <w:sz w:val="18"/>
                <w:u w:val="single"/>
              </w:rPr>
            </w:pPr>
            <w:r>
              <w:rPr>
                <w:i/>
                <w:sz w:val="18"/>
                <w:u w:val="single"/>
              </w:rPr>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Systems</w:t>
            </w:r>
          </w:p>
        </w:tc>
        <w:tc>
          <w:tcPr>
            <w:tcW w:w="18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Access and Security</w:t>
            </w:r>
          </w:p>
        </w:tc>
        <w:tc>
          <w:tcPr>
            <w:tcW w:w="27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Critical data is protected from unauthorized modification and misuse.</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Yes</w:t>
            </w:r>
          </w:p>
        </w:tc>
        <w:tc>
          <w:tcPr>
            <w:tcW w:w="26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160" w:leader="none"/>
              </w:tabs>
              <w:rPr>
                <w:sz w:val="18"/>
              </w:rPr>
            </w:pPr>
            <w:r>
              <w:rPr>
                <w:sz w:val="18"/>
              </w:rPr>
              <w:t>Cash flows reports are read-only.</w:t>
            </w:r>
          </w:p>
        </w:tc>
        <w:tc>
          <w:tcPr>
            <w:tcW w:w="3870" w:type="dxa"/>
            <w:tcBorders>
              <w:top w:val="single" w:sz="6" w:space="0" w:color="000000"/>
              <w:start w:val="single" w:sz="6" w:space="0" w:color="000000"/>
              <w:bottom w:val="single" w:sz="6" w:space="0" w:color="000000"/>
              <w:end w:val="single" w:sz="6" w:space="0" w:color="000000"/>
            </w:tcBorders>
          </w:tcPr>
          <w:p>
            <w:pPr>
              <w:pStyle w:val="Normal"/>
              <w:numPr>
                <w:ilvl w:val="0"/>
                <w:numId w:val="7"/>
              </w:numPr>
              <w:tabs>
                <w:tab w:val="clear" w:pos="720"/>
                <w:tab w:val="left" w:pos="2160" w:leader="none"/>
              </w:tabs>
              <w:rPr>
                <w:sz w:val="18"/>
              </w:rPr>
            </w:pPr>
            <w:r>
              <w:rPr>
                <w:sz w:val="18"/>
              </w:rPr>
              <w:t>None</w:t>
            </w:r>
          </w:p>
        </w:tc>
        <w:tc>
          <w:tcPr>
            <w:tcW w:w="2970" w:type="dxa"/>
            <w:tcBorders>
              <w:top w:val="single" w:sz="6" w:space="0" w:color="000000"/>
              <w:start w:val="single" w:sz="6" w:space="0" w:color="000000"/>
              <w:bottom w:val="single" w:sz="6" w:space="0" w:color="000000"/>
              <w:end w:val="single" w:sz="6" w:space="0" w:color="000000"/>
            </w:tcBorders>
          </w:tcPr>
          <w:p>
            <w:pPr>
              <w:pStyle w:val="Normal"/>
              <w:numPr>
                <w:ilvl w:val="0"/>
                <w:numId w:val="13"/>
              </w:numPr>
              <w:tabs>
                <w:tab w:val="clear" w:pos="720"/>
                <w:tab w:val="left" w:pos="2160" w:leader="none"/>
              </w:tabs>
              <w:rPr>
                <w:sz w:val="18"/>
              </w:rPr>
            </w:pPr>
            <w:r>
              <w:rPr>
                <w:sz w:val="18"/>
              </w:rPr>
              <w:t>None</w:t>
            </w:r>
          </w:p>
        </w:tc>
      </w:tr>
    </w:tbl>
    <w:p>
      <w:pPr>
        <w:pStyle w:val="Header"/>
        <w:tabs>
          <w:tab w:val="clear" w:pos="4320"/>
          <w:tab w:val="clear" w:pos="8640"/>
        </w:tabs>
        <w:rPr/>
      </w:pPr>
      <w:r>
        <w:rPr/>
      </w:r>
    </w:p>
    <w:sectPr>
      <w:headerReference w:type="default" r:id="rId2"/>
      <w:footerReference w:type="default" r:id="rId3"/>
      <w:type w:val="nextPage"/>
      <w:pgSz w:orient="landscape" w:w="20160" w:h="12240"/>
      <w:pgMar w:left="1440" w:right="1440" w:gutter="0" w:header="720" w:top="1800"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Tahoma">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858.4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Enron North America – MAPS Project</w:t>
    </w:r>
  </w:p>
  <w:p>
    <w:pPr>
      <w:pStyle w:val="Header"/>
      <w:jc w:val="center"/>
      <w:rPr>
        <w:b/>
        <w:sz w:val="24"/>
      </w:rPr>
    </w:pPr>
    <w:r>
      <w:rPr>
        <w:b/>
        <w:sz w:val="24"/>
      </w:rPr>
      <w:t>Business Risk Management (BRM) Project Reporting Format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83"/>
        </w:tabs>
        <w:ind w:start="283" w:hanging="283"/>
      </w:pPr>
      <w:rPr>
        <w:rFonts w:ascii="Symbol" w:hAnsi="Symbol" w:cs="Symbol" w:hint="default"/>
      </w:rPr>
    </w:lvl>
  </w:abstractNum>
  <w:abstractNum w:abstractNumId="3">
    <w:lvl w:ilvl="0">
      <w:start w:val="1"/>
      <w:numFmt w:val="bullet"/>
      <w:lvlText w:val=""/>
      <w:lvlJc w:val="start"/>
      <w:pPr>
        <w:tabs>
          <w:tab w:val="num" w:pos="283"/>
        </w:tabs>
        <w:ind w:start="283" w:hanging="283"/>
      </w:pPr>
      <w:rPr>
        <w:rFonts w:ascii="Symbol" w:hAnsi="Symbol" w:cs="Symbol" w:hint="default"/>
      </w:rPr>
    </w:lvl>
  </w:abstractNum>
  <w:abstractNum w:abstractNumId="4">
    <w:lvl w:ilvl="0">
      <w:start w:val="1"/>
      <w:numFmt w:val="bullet"/>
      <w:lvlText w:val=""/>
      <w:lvlJc w:val="start"/>
      <w:pPr>
        <w:tabs>
          <w:tab w:val="num" w:pos="283"/>
        </w:tabs>
        <w:ind w:start="283" w:hanging="283"/>
      </w:pPr>
      <w:rPr>
        <w:rFonts w:ascii="Symbol" w:hAnsi="Symbol" w:cs="Symbol" w:hint="default"/>
      </w:rPr>
    </w:lvl>
  </w:abstractNum>
  <w:abstractNum w:abstractNumId="5">
    <w:lvl w:ilvl="0">
      <w:start w:val="1"/>
      <w:numFmt w:val="bullet"/>
      <w:lvlText w:val=""/>
      <w:lvlJc w:val="start"/>
      <w:pPr>
        <w:tabs>
          <w:tab w:val="num" w:pos="283"/>
        </w:tabs>
        <w:ind w:start="283" w:hanging="283"/>
      </w:pPr>
      <w:rPr>
        <w:rFonts w:ascii="Symbol" w:hAnsi="Symbol" w:cs="Symbol" w:hint="default"/>
      </w:rPr>
    </w:lvl>
  </w:abstractNum>
  <w:abstractNum w:abstractNumId="6">
    <w:lvl w:ilvl="0">
      <w:start w:val="1"/>
      <w:numFmt w:val="bullet"/>
      <w:lvlText w:val=""/>
      <w:lvlJc w:val="start"/>
      <w:pPr>
        <w:tabs>
          <w:tab w:val="num" w:pos="283"/>
        </w:tabs>
        <w:ind w:start="283" w:hanging="283"/>
      </w:pPr>
      <w:rPr>
        <w:rFonts w:ascii="Symbol" w:hAnsi="Symbol" w:cs="Symbol" w:hint="default"/>
      </w:rPr>
    </w:lvl>
  </w:abstractNum>
  <w:abstractNum w:abstractNumId="7">
    <w:lvl w:ilvl="0">
      <w:start w:val="1"/>
      <w:numFmt w:val="bullet"/>
      <w:lvlText w:val=""/>
      <w:lvlJc w:val="start"/>
      <w:pPr>
        <w:tabs>
          <w:tab w:val="num" w:pos="283"/>
        </w:tabs>
        <w:ind w:start="283" w:hanging="283"/>
      </w:pPr>
      <w:rPr>
        <w:rFonts w:ascii="Symbol" w:hAnsi="Symbol" w:cs="Symbol" w:hint="default"/>
      </w:rPr>
    </w:lvl>
  </w:abstractNum>
  <w:abstractNum w:abstractNumId="8">
    <w:lvl w:ilvl="0">
      <w:start w:val="1"/>
      <w:numFmt w:val="bullet"/>
      <w:lvlText w:val=""/>
      <w:lvlJc w:val="start"/>
      <w:pPr>
        <w:tabs>
          <w:tab w:val="num" w:pos="283"/>
        </w:tabs>
        <w:ind w:start="283" w:hanging="283"/>
      </w:pPr>
      <w:rPr>
        <w:rFonts w:ascii="Symbol" w:hAnsi="Symbol" w:cs="Symbol" w:hint="default"/>
      </w:rPr>
    </w:lvl>
  </w:abstractNum>
  <w:abstractNum w:abstractNumId="9">
    <w:lvl w:ilvl="0">
      <w:start w:val="1"/>
      <w:numFmt w:val="bullet"/>
      <w:lvlText w:val=""/>
      <w:lvlJc w:val="start"/>
      <w:pPr>
        <w:tabs>
          <w:tab w:val="num" w:pos="283"/>
        </w:tabs>
        <w:ind w:start="283" w:hanging="283"/>
      </w:pPr>
      <w:rPr>
        <w:rFonts w:ascii="Symbol" w:hAnsi="Symbol" w:cs="Symbol" w:hint="default"/>
      </w:rPr>
    </w:lvl>
  </w:abstractNum>
  <w:abstractNum w:abstractNumId="10">
    <w:lvl w:ilvl="0">
      <w:start w:val="1"/>
      <w:numFmt w:val="bullet"/>
      <w:lvlText w:val=""/>
      <w:lvlJc w:val="start"/>
      <w:pPr>
        <w:tabs>
          <w:tab w:val="num" w:pos="283"/>
        </w:tabs>
        <w:ind w:start="283" w:hanging="283"/>
      </w:pPr>
      <w:rPr>
        <w:rFonts w:ascii="Symbol" w:hAnsi="Symbol" w:cs="Symbol" w:hint="default"/>
      </w:rPr>
    </w:lvl>
  </w:abstractNum>
  <w:abstractNum w:abstractNumId="11">
    <w:lvl w:ilvl="0">
      <w:start w:val="1"/>
      <w:numFmt w:val="bullet"/>
      <w:lvlText w:val=""/>
      <w:lvlJc w:val="start"/>
      <w:pPr>
        <w:tabs>
          <w:tab w:val="num" w:pos="283"/>
        </w:tabs>
        <w:ind w:start="283" w:hanging="283"/>
      </w:pPr>
      <w:rPr>
        <w:rFonts w:ascii="Symbol" w:hAnsi="Symbol" w:cs="Symbol" w:hint="default"/>
      </w:rPr>
    </w:lvl>
  </w:abstractNum>
  <w:abstractNum w:abstractNumId="12">
    <w:lvl w:ilvl="0">
      <w:start w:val="1"/>
      <w:numFmt w:val="bullet"/>
      <w:lvlText w:val=""/>
      <w:lvlJc w:val="start"/>
      <w:pPr>
        <w:tabs>
          <w:tab w:val="num" w:pos="283"/>
        </w:tabs>
        <w:ind w:start="283" w:hanging="283"/>
      </w:pPr>
      <w:rPr>
        <w:rFonts w:ascii="Symbol" w:hAnsi="Symbol" w:cs="Symbol" w:hint="default"/>
      </w:rPr>
    </w:lvl>
  </w:abstractNum>
  <w:abstractNum w:abstractNumId="13">
    <w:lvl w:ilvl="0">
      <w:start w:val="1"/>
      <w:numFmt w:val="bullet"/>
      <w:lvlText w:val=""/>
      <w:lvlJc w:val="start"/>
      <w:pPr>
        <w:tabs>
          <w:tab w:val="num" w:pos="283"/>
        </w:tabs>
        <w:ind w:start="283" w:hanging="283"/>
      </w:pPr>
      <w:rPr>
        <w:rFonts w:ascii="Symbol" w:hAnsi="Symbol" w:cs="Symbol" w:hint="default"/>
      </w:rPr>
    </w:lvl>
  </w:abstractNum>
  <w:abstractNum w:abstractNumId="14">
    <w:lvl w:ilvl="0">
      <w:start w:val="1"/>
      <w:numFmt w:val="bullet"/>
      <w:lvlText w:val=""/>
      <w:lvlJc w:val="start"/>
      <w:pPr>
        <w:tabs>
          <w:tab w:val="num" w:pos="283"/>
        </w:tabs>
        <w:ind w:start="283" w:hanging="283"/>
      </w:pPr>
      <w:rPr>
        <w:rFonts w:ascii="Symbol" w:hAnsi="Symbol" w:cs="Symbol" w:hint="default"/>
      </w:rPr>
    </w:lvl>
  </w:abstractNum>
  <w:abstractNum w:abstractNumId="15">
    <w:lvl w:ilvl="0">
      <w:start w:val="1"/>
      <w:numFmt w:val="bullet"/>
      <w:lvlText w:val=""/>
      <w:lvlJc w:val="start"/>
      <w:pPr>
        <w:tabs>
          <w:tab w:val="num" w:pos="283"/>
        </w:tabs>
        <w:ind w:start="283" w:hanging="283"/>
      </w:pPr>
      <w:rPr>
        <w:rFonts w:ascii="Symbol" w:hAnsi="Symbol" w:cs="Symbol" w:hint="default"/>
      </w:rPr>
    </w:lvl>
  </w:abstractNum>
  <w:abstractNum w:abstractNumId="16">
    <w:lvl w:ilvl="0">
      <w:start w:val="1"/>
      <w:numFmt w:val="bullet"/>
      <w:lvlText w:val=""/>
      <w:lvlJc w:val="start"/>
      <w:pPr>
        <w:tabs>
          <w:tab w:val="num" w:pos="283"/>
        </w:tabs>
        <w:ind w:start="283" w:hanging="283"/>
      </w:pPr>
      <w:rPr>
        <w:rFonts w:ascii="Symbol" w:hAnsi="Symbol" w:cs="Symbol" w:hint="default"/>
      </w:rPr>
    </w:lvl>
  </w:abstractNum>
  <w:abstractNum w:abstractNumId="17">
    <w:lvl w:ilvl="0">
      <w:start w:val="1"/>
      <w:numFmt w:val="bullet"/>
      <w:lvlText w:val=""/>
      <w:lvlJc w:val="start"/>
      <w:pPr>
        <w:tabs>
          <w:tab w:val="num" w:pos="283"/>
        </w:tabs>
        <w:ind w:start="283" w:hanging="283"/>
      </w:pPr>
      <w:rPr>
        <w:rFonts w:ascii="Symbol" w:hAnsi="Symbol" w:cs="Symbol" w:hint="default"/>
      </w:rPr>
    </w:lvl>
  </w:abstractNum>
  <w:abstractNum w:abstractNumId="18">
    <w:lvl w:ilvl="0">
      <w:start w:val="1"/>
      <w:numFmt w:val="bullet"/>
      <w:lvlText w:val=""/>
      <w:lvlJc w:val="start"/>
      <w:pPr>
        <w:tabs>
          <w:tab w:val="num" w:pos="283"/>
        </w:tabs>
        <w:ind w:start="283" w:hanging="283"/>
      </w:pPr>
      <w:rPr>
        <w:rFonts w:ascii="Symbol" w:hAnsi="Symbol" w:cs="Symbol" w:hint="default"/>
      </w:rPr>
    </w:lvl>
  </w:abstractNum>
  <w:abstractNum w:abstractNumId="19">
    <w:lvl w:ilvl="0">
      <w:start w:val="1"/>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i/>
      <w:lang w:eastAsia="en-US"/>
    </w:rPr>
  </w:style>
  <w:style w:type="paragraph" w:styleId="Heading2">
    <w:name w:val="heading 2"/>
    <w:basedOn w:val="Normal"/>
    <w:next w:val="Normal"/>
    <w:qFormat/>
    <w:pPr>
      <w:keepNext w:val="true"/>
      <w:numPr>
        <w:ilvl w:val="1"/>
        <w:numId w:val="1"/>
      </w:numPr>
      <w:outlineLvl w:val="1"/>
    </w:pPr>
    <w:rPr>
      <w:b/>
      <w:sz w:val="24"/>
      <w:lang w:eastAsia="en-US"/>
    </w:rPr>
  </w:style>
  <w:style w:type="paragraph" w:styleId="Heading3">
    <w:name w:val="heading 3"/>
    <w:basedOn w:val="Normal"/>
    <w:next w:val="Normal"/>
    <w:qFormat/>
    <w:pPr>
      <w:keepNext w:val="true"/>
      <w:numPr>
        <w:ilvl w:val="2"/>
        <w:numId w:val="1"/>
      </w:numPr>
      <w:ind w:hanging="0" w:start="720" w:end="0"/>
      <w:outlineLvl w:val="2"/>
    </w:pPr>
    <w:rPr>
      <w:i/>
      <w:lang w:eastAsia="en-US"/>
    </w:rPr>
  </w:style>
  <w:style w:type="paragraph" w:styleId="Heading4">
    <w:name w:val="heading 4"/>
    <w:basedOn w:val="Normal"/>
    <w:next w:val="Normal"/>
    <w:qFormat/>
    <w:pPr>
      <w:keepNext w:val="true"/>
      <w:numPr>
        <w:ilvl w:val="3"/>
        <w:numId w:val="1"/>
      </w:numPr>
      <w:outlineLvl w:val="3"/>
    </w:pPr>
    <w:rPr>
      <w:b/>
      <w:lang w:eastAsia="en-US"/>
    </w:rPr>
  </w:style>
  <w:style w:type="paragraph" w:styleId="Heading5">
    <w:name w:val="heading 5"/>
    <w:basedOn w:val="Normal"/>
    <w:next w:val="Normal"/>
    <w:qFormat/>
    <w:pPr>
      <w:keepNext w:val="true"/>
      <w:widowControl w:val="false"/>
      <w:numPr>
        <w:ilvl w:val="4"/>
        <w:numId w:val="1"/>
      </w:numPr>
      <w:outlineLvl w:val="4"/>
    </w:pPr>
    <w:rPr>
      <w:b/>
      <w:i/>
      <w:sz w:val="28"/>
      <w:lang w:eastAsia="en-US"/>
    </w:rPr>
  </w:style>
  <w:style w:type="paragraph" w:styleId="Heading8">
    <w:name w:val="heading 8"/>
    <w:basedOn w:val="Normal"/>
    <w:next w:val="Normal"/>
    <w:qFormat/>
    <w:pPr>
      <w:keepNext w:val="true"/>
      <w:numPr>
        <w:ilvl w:val="7"/>
        <w:numId w:val="1"/>
      </w:numPr>
      <w:tabs>
        <w:tab w:val="clear" w:pos="720"/>
        <w:tab w:val="left" w:pos="2160" w:leader="none"/>
      </w:tabs>
      <w:ind w:hanging="0" w:start="1440" w:end="0"/>
      <w:outlineLvl w:val="7"/>
    </w:pPr>
    <w:rPr>
      <w:i/>
      <w:sz w:val="20"/>
      <w:lang w:eastAsia="en-U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sz w:val="18"/>
    </w:rPr>
  </w:style>
  <w:style w:type="character" w:styleId="WW8Num9z0">
    <w:name w:val="WW8Num9z0"/>
    <w:qFormat/>
    <w:rPr>
      <w:rFonts w:ascii="Symbol" w:hAnsi="Symbol" w:cs="Symbol"/>
      <w:sz w:val="18"/>
    </w:rPr>
  </w:style>
  <w:style w:type="character" w:styleId="WW8Num10z0">
    <w:name w:val="WW8Num10z0"/>
    <w:qFormat/>
    <w:rPr>
      <w:rFonts w:ascii="Book Antiqua" w:hAnsi="Book Antiqua" w:cs="Book Antiqua"/>
      <w:sz w:val="18"/>
    </w:rPr>
  </w:style>
  <w:style w:type="character" w:styleId="WW8Num11z0">
    <w:name w:val="WW8Num11z0"/>
    <w:qFormat/>
    <w:rPr>
      <w:rFonts w:ascii="Symbol" w:hAnsi="Symbol" w:cs="Symbol"/>
      <w:sz w:val="18"/>
    </w:rPr>
  </w:style>
  <w:style w:type="character" w:styleId="WW8Num12z0">
    <w:name w:val="WW8Num12z0"/>
    <w:qFormat/>
    <w:rPr>
      <w:rFonts w:ascii="Symbol" w:hAnsi="Symbol" w:cs="Symbol"/>
    </w:rPr>
  </w:style>
  <w:style w:type="character" w:styleId="WW8Num13z0">
    <w:name w:val="WW8Num13z0"/>
    <w:qFormat/>
    <w:rPr>
      <w:rFonts w:ascii="Book Antiqua" w:hAnsi="Book Antiqua" w:cs="Book Antiqua"/>
      <w:sz w:val="18"/>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sz w:val="18"/>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sz w:val="18"/>
    </w:rPr>
  </w:style>
  <w:style w:type="character" w:styleId="WW8Num36z0">
    <w:name w:val="WW8Num36z0"/>
    <w:qFormat/>
    <w:rPr>
      <w:rFonts w:ascii="Symbol" w:hAnsi="Symbol" w:cs="Symbol"/>
    </w:rPr>
  </w:style>
  <w:style w:type="character" w:styleId="WW8Num37z0">
    <w:name w:val="WW8Num37z0"/>
    <w:qFormat/>
    <w:rPr>
      <w:rFonts w:ascii="Book Antiqua" w:hAnsi="Book Antiqua" w:cs="Book Antiqua"/>
      <w:sz w:val="18"/>
    </w:rPr>
  </w:style>
  <w:style w:type="character" w:styleId="WW8Num39z0">
    <w:name w:val="WW8Num39z0"/>
    <w:qFormat/>
    <w:rPr>
      <w:rFonts w:ascii="Symbol" w:hAnsi="Symbol" w:cs="Symbol"/>
    </w:rPr>
  </w:style>
  <w:style w:type="character" w:styleId="WW8Num40z0">
    <w:name w:val="WW8Num40z0"/>
    <w:qFormat/>
    <w:rPr>
      <w:rFonts w:ascii="Symbol" w:hAnsi="Symbol" w:cs="Symbol"/>
      <w:color w:val="auto"/>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sz w:val="18"/>
    </w:rPr>
  </w:style>
  <w:style w:type="character" w:styleId="WW8Num46z0">
    <w:name w:val="WW8Num46z0"/>
    <w:qFormat/>
    <w:rPr>
      <w:rFonts w:ascii="Book Antiqua" w:hAnsi="Book Antiqua" w:cs="Book Antiqua"/>
      <w:sz w:val="18"/>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sz w:val="18"/>
    </w:rPr>
  </w:style>
  <w:style w:type="character" w:styleId="WW8Num58z0">
    <w:name w:val="WW8Num58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sz w:val="18"/>
    </w:rPr>
  </w:style>
  <w:style w:type="character" w:styleId="WW8Num66z0">
    <w:name w:val="WW8Num66z0"/>
    <w:qFormat/>
    <w:rPr>
      <w:rFonts w:ascii="Symbol" w:hAnsi="Symbol" w:cs="Symbol"/>
    </w:rPr>
  </w:style>
  <w:style w:type="character" w:styleId="WW8Num67z0">
    <w:name w:val="WW8Num67z0"/>
    <w:qFormat/>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sz w:val="18"/>
    </w:rPr>
  </w:style>
  <w:style w:type="character" w:styleId="WW8Num72z0">
    <w:name w:val="WW8Num72z0"/>
    <w:qFormat/>
    <w:rPr>
      <w:rFonts w:ascii="Symbol" w:hAnsi="Symbol" w:cs="Symbol"/>
    </w:rPr>
  </w:style>
  <w:style w:type="character" w:styleId="WW8Num73z0">
    <w:name w:val="WW8Num73z0"/>
    <w:qFormat/>
    <w:rPr>
      <w:rFonts w:ascii="Symbol" w:hAnsi="Symbol" w:cs="Symbol"/>
      <w:sz w:val="18"/>
    </w:rPr>
  </w:style>
  <w:style w:type="character" w:styleId="WW8Num74z0">
    <w:name w:val="WW8Num74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sz w:val="18"/>
    </w:rPr>
  </w:style>
  <w:style w:type="character" w:styleId="WW8Num78z0">
    <w:name w:val="WW8Num78z0"/>
    <w:qFormat/>
    <w:rPr>
      <w:rFonts w:ascii="Symbol" w:hAnsi="Symbol" w:cs="Symbol"/>
    </w:rPr>
  </w:style>
  <w:style w:type="character" w:styleId="WW8Num79z0">
    <w:name w:val="WW8Num79z0"/>
    <w:qFormat/>
    <w:rPr>
      <w:rFonts w:ascii="Symbol" w:hAnsi="Symbol" w:cs="Symbol"/>
      <w:sz w:val="18"/>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sz w:val="18"/>
    </w:rPr>
  </w:style>
  <w:style w:type="character" w:styleId="WW8Num85z0">
    <w:name w:val="WW8Num85z0"/>
    <w:qFormat/>
    <w:rPr>
      <w:rFonts w:ascii="Symbol" w:hAnsi="Symbol" w:cs="Symbol"/>
      <w:sz w:val="16"/>
    </w:rPr>
  </w:style>
  <w:style w:type="character" w:styleId="WW8Num86z0">
    <w:name w:val="WW8Num86z0"/>
    <w:qFormat/>
    <w:rPr>
      <w:rFonts w:ascii="Symbol" w:hAnsi="Symbol" w:cs="Symbol"/>
    </w:rPr>
  </w:style>
  <w:style w:type="character" w:styleId="WW8Num88z0">
    <w:name w:val="WW8Num88z0"/>
    <w:qFormat/>
    <w:rPr>
      <w:rFonts w:ascii="Symbol" w:hAnsi="Symbol" w:cs="Symbol"/>
      <w:sz w:val="18"/>
    </w:rPr>
  </w:style>
  <w:style w:type="character" w:styleId="WW8Num89z0">
    <w:name w:val="WW8Num89z0"/>
    <w:qFormat/>
    <w:rPr>
      <w:rFonts w:ascii="Symbol" w:hAnsi="Symbol" w:cs="Symbol"/>
    </w:rPr>
  </w:style>
  <w:style w:type="character" w:styleId="WW8Num90z0">
    <w:name w:val="WW8Num90z0"/>
    <w:qFormat/>
    <w:rPr>
      <w:rFonts w:ascii="Symbol" w:hAnsi="Symbol" w:cs="Symbol"/>
      <w:sz w:val="16"/>
    </w:rPr>
  </w:style>
  <w:style w:type="character" w:styleId="WW8Num91z0">
    <w:name w:val="WW8Num91z0"/>
    <w:qFormat/>
    <w:rPr>
      <w:rFonts w:ascii="Symbol" w:hAnsi="Symbol" w:cs="Symbol"/>
    </w:rPr>
  </w:style>
  <w:style w:type="character" w:styleId="WW8Num92z0">
    <w:name w:val="WW8Num92z0"/>
    <w:qFormat/>
    <w:rPr>
      <w:rFonts w:ascii="Symbol" w:hAnsi="Symbol" w:cs="Symbol"/>
      <w:sz w:val="18"/>
    </w:rPr>
  </w:style>
  <w:style w:type="character" w:styleId="WW8Num93z0">
    <w:name w:val="WW8Num93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Book Antiqua" w:hAnsi="Book Antiqua" w:cs="Book Antiqua"/>
      <w:sz w:val="18"/>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sz w:val="18"/>
    </w:rPr>
  </w:style>
  <w:style w:type="character" w:styleId="WW8Num110z0">
    <w:name w:val="WW8Num110z0"/>
    <w:qFormat/>
    <w:rPr>
      <w:rFonts w:ascii="Symbol" w:hAnsi="Symbol" w:cs="Symbol"/>
      <w:sz w:val="18"/>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style>
  <w:style w:type="character" w:styleId="WW8Num119z0">
    <w:name w:val="WW8Num119z0"/>
    <w:qFormat/>
    <w:rPr>
      <w:rFonts w:ascii="Symbol" w:hAnsi="Symbol" w:cs="Symbol"/>
    </w:rPr>
  </w:style>
  <w:style w:type="character" w:styleId="WW8Num120z0">
    <w:name w:val="WW8Num120z0"/>
    <w:qFormat/>
    <w:rPr>
      <w:rFonts w:ascii="Symbol" w:hAnsi="Symbol" w:cs="Symbol"/>
      <w:sz w:val="18"/>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sz w:val="18"/>
    </w:rPr>
  </w:style>
  <w:style w:type="character" w:styleId="WW8Num124z0">
    <w:name w:val="WW8Num124z0"/>
    <w:qFormat/>
    <w:rPr>
      <w:rFonts w:ascii="Symbol" w:hAnsi="Symbol" w:cs="Symbol"/>
      <w:sz w:val="18"/>
    </w:rPr>
  </w:style>
  <w:style w:type="character" w:styleId="WW8Num125z0">
    <w:name w:val="WW8Num125z0"/>
    <w:qFormat/>
    <w:rPr>
      <w:rFonts w:ascii="Symbol" w:hAnsi="Symbol" w:cs="Symbol"/>
    </w:rPr>
  </w:style>
  <w:style w:type="character" w:styleId="WW8Num126z0">
    <w:name w:val="WW8Num126z0"/>
    <w:qFormat/>
    <w:rPr>
      <w:rFonts w:ascii="Symbol" w:hAnsi="Symbol" w:cs="Symbol"/>
      <w:sz w:val="18"/>
    </w:rPr>
  </w:style>
  <w:style w:type="character" w:styleId="WW8Num127z0">
    <w:name w:val="WW8Num127z0"/>
    <w:qFormat/>
    <w:rPr>
      <w:rFonts w:ascii="Symbol" w:hAnsi="Symbol" w:cs="Symbol"/>
      <w:color w:val="auto"/>
    </w:rPr>
  </w:style>
  <w:style w:type="character" w:styleId="WW8Num128z0">
    <w:name w:val="WW8Num128z0"/>
    <w:qFormat/>
    <w:rPr>
      <w:rFonts w:ascii="Book Antiqua" w:hAnsi="Book Antiqua" w:cs="Book Antiqua"/>
      <w:sz w:val="18"/>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sz w:val="18"/>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sz w:val="18"/>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sz w:val="16"/>
    </w:rPr>
  </w:style>
  <w:style w:type="character" w:styleId="WW8Num140z0">
    <w:name w:val="WW8Num140z0"/>
    <w:qFormat/>
    <w:rPr>
      <w:rFonts w:ascii="Symbol" w:hAnsi="Symbol" w:cs="Symbol"/>
    </w:rPr>
  </w:style>
  <w:style w:type="character" w:styleId="WW8Num142z0">
    <w:name w:val="WW8Num142z0"/>
    <w:qFormat/>
    <w:rPr>
      <w:rFonts w:ascii="Tahoma" w:hAnsi="Tahoma" w:cs="Tahoma"/>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sz w:val="18"/>
    </w:rPr>
  </w:style>
  <w:style w:type="character" w:styleId="WW8NumSt1z0">
    <w:name w:val="WW8NumSt1z0"/>
    <w:qFormat/>
    <w:rPr>
      <w:rFonts w:ascii="Symbol" w:hAnsi="Symbol" w:cs="Symbol"/>
    </w:rPr>
  </w:style>
  <w:style w:type="character" w:styleId="WW8NumSt2z0">
    <w:name w:val="WW8NumSt2z0"/>
    <w:qFormat/>
    <w:rPr>
      <w:rFonts w:ascii="Book Antiqua" w:hAnsi="Book Antiqua" w:cs="Book Antiqua"/>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1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bidi w:val="0"/>
    </w:pPr>
    <w:rPr>
      <w:rFonts w:ascii="Book Antiqua" w:hAnsi="Book Antiqua" w:eastAsia="Times New Roman" w:cs="Book Antiqua"/>
      <w:color w:val="auto"/>
      <w:sz w:val="16"/>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IOCNORMAL">
    <w:name w:val="AIOC NORMAL"/>
    <w:basedOn w:val="Normal"/>
    <w:qFormat/>
    <w:pPr>
      <w:tabs>
        <w:tab w:val="clear" w:pos="720"/>
        <w:tab w:val="left" w:pos="1440" w:leader="none"/>
      </w:tabs>
    </w:pPr>
    <w:rPr/>
  </w:style>
  <w:style w:type="paragraph" w:styleId="BodyText3">
    <w:name w:val="Body Text 3"/>
    <w:basedOn w:val="Normal"/>
    <w:qFormat/>
    <w:pPr/>
    <w:rPr>
      <w:i/>
      <w:sz w:val="18"/>
      <w:lang w:eastAsia="en-US"/>
    </w:rPr>
  </w:style>
  <w:style w:type="paragraph" w:styleId="BodyText2">
    <w:name w:val="Body Text 2"/>
    <w:basedOn w:val="Normal"/>
    <w:qFormat/>
    <w:pPr/>
    <w:rPr>
      <w:color w:val="000000"/>
      <w:sz w:val="2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2000-08-28T11:47:00Z</dcterms:created>
  <dc:creator>donnelcc</dc:creator>
  <dc:description/>
  <dc:language>en-CA</dc:language>
  <cp:lastModifiedBy>Arthur Andersen</cp:lastModifiedBy>
  <cp:lastPrinted>2000-06-14T17:19:00Z</cp:lastPrinted>
  <dcterms:modified xsi:type="dcterms:W3CDTF">2000-08-29T12:51:00Z</dcterms:modified>
  <cp:revision>3</cp:revision>
  <dc:subject/>
  <dc:title>Project Name</dc:title>
</cp:coreProperties>
</file>