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MANDATORY CURTAILMENT PLAN (MCP)</w:t>
      </w:r>
    </w:p>
    <w:p>
      <w:pPr>
        <w:pStyle w:val="Normal"/>
        <w:rPr>
          <w:b/>
          <w:bCs/>
        </w:rPr>
      </w:pPr>
      <w:r>
        <w:rPr>
          <w:b/>
          <w:bCs/>
        </w:rPr>
      </w:r>
    </w:p>
    <w:p>
      <w:pPr>
        <w:pStyle w:val="Normal"/>
        <w:rPr/>
      </w:pPr>
      <w:r>
        <w:rPr/>
      </w:r>
    </w:p>
    <w:p>
      <w:pPr>
        <w:pStyle w:val="Normal"/>
        <w:rPr/>
      </w:pPr>
      <w:r>
        <w:rPr/>
        <w:t>General Background:</w:t>
      </w:r>
    </w:p>
    <w:p>
      <w:pPr>
        <w:pStyle w:val="Normal"/>
        <w:rPr/>
      </w:pPr>
      <w:r>
        <w:rPr/>
        <w:t>Currently transmission customers are not included in rotating outages</w:t>
      </w:r>
    </w:p>
    <w:p>
      <w:pPr>
        <w:pStyle w:val="Normal"/>
        <w:rPr/>
      </w:pPr>
      <w:r>
        <w:rPr/>
        <w:t xml:space="preserve">(RO) stemming from an ISO ordered Stage 3 or local emergency.  This subject has been discussed at some length internally and at the CPUC.  We have concluded that nothing in the applicable 1979 and 1982 EEP decisions exclude these customers from being included on a rotating outage blocks.  The decision text does nothing to differentiate customer participation by voltage classification.  Rather, customers are differentiated and prioritized solely by end-use, with an "essential" (and therefore exempt) designation being given to those deemed by the CPUC to have immediate and significant impact on public health and safety.  PG&amp;E's initial EEP RO plans were created around dropping "distribution circuits" for expediency and operating efficiency.   The tremendous growth in the relative number of transmission customers since the mid-1980's has caused us to reconsider their participation.   </w:t>
      </w:r>
    </w:p>
    <w:p>
      <w:pPr>
        <w:pStyle w:val="Normal"/>
        <w:rPr/>
      </w:pPr>
      <w:r>
        <w:rPr/>
      </w:r>
    </w:p>
    <w:p>
      <w:pPr>
        <w:pStyle w:val="Normal"/>
        <w:rPr/>
      </w:pPr>
      <w:r>
        <w:rPr/>
        <w:t>In early October 2000, we expect to file a Mandatory Curtailment Plan</w:t>
      </w:r>
    </w:p>
    <w:p>
      <w:pPr>
        <w:pStyle w:val="Normal"/>
        <w:rPr/>
      </w:pPr>
      <w:r>
        <w:rPr/>
        <w:t>(MCP) tariff.  This tariff will require that all "non-essential" transmission customers participate in curtailment activities during a rotating outage.  As an alternative to the MCP, we intend to request that the Commission allow customers who wish to participate in a RO, be allowed to do so.  The MCP will be very similar to the optional binding mandatory curtailment plan (OBMC) tariffs that PG&amp;E filed on July 20th, 2000.  That filing is expected to be approved with slight modifications in approximately 2 weeks.</w:t>
      </w:r>
    </w:p>
    <w:p>
      <w:pPr>
        <w:pStyle w:val="Normal"/>
        <w:rPr/>
      </w:pPr>
      <w:r>
        <w:rPr/>
        <w:t>General Requirements of the MCP: Transmission customers would be required to curtail their load concurrently with every CAISO initiated firm load curtailment requiring ROs.  In addition, the tariff would require the following:</w:t>
      </w:r>
    </w:p>
    <w:p>
      <w:pPr>
        <w:pStyle w:val="Normal"/>
        <w:rPr/>
      </w:pPr>
      <w:r>
        <w:rPr/>
      </w:r>
    </w:p>
    <w:p>
      <w:pPr>
        <w:pStyle w:val="Normal"/>
        <w:numPr>
          <w:ilvl w:val="0"/>
          <w:numId w:val="2"/>
        </w:numPr>
        <w:tabs>
          <w:tab w:val="clear" w:pos="720"/>
          <w:tab w:val="left" w:pos="0" w:leader="none"/>
        </w:tabs>
        <w:ind w:hanging="1440" w:start="1440" w:end="0"/>
        <w:rPr/>
      </w:pPr>
      <w:r>
        <w:rPr/>
        <w:t xml:space="preserve">Customers would be required to achieve and maintain load reductions at their site </w:t>
      </w:r>
    </w:p>
    <w:p>
      <w:pPr>
        <w:pStyle w:val="Normal"/>
        <w:numPr>
          <w:ilvl w:val="0"/>
          <w:numId w:val="0"/>
        </w:numPr>
        <w:ind w:hanging="0" w:start="0" w:end="0"/>
        <w:rPr/>
      </w:pPr>
      <w:r>
        <w:rPr/>
        <w:t xml:space="preserve">such that the load on the circuit is reduced by 5, 10, 15 and 20 percent increments.  </w:t>
      </w:r>
    </w:p>
    <w:p>
      <w:pPr>
        <w:pStyle w:val="Normal"/>
        <w:numPr>
          <w:ilvl w:val="0"/>
          <w:numId w:val="0"/>
        </w:numPr>
        <w:ind w:hanging="0" w:start="0" w:end="0"/>
        <w:rPr/>
      </w:pPr>
      <w:r>
        <w:rPr/>
        <w:t xml:space="preserve">The percentage of load reduction required would be equal 5% in cases where the </w:t>
      </w:r>
    </w:p>
    <w:p>
      <w:pPr>
        <w:pStyle w:val="Normal"/>
        <w:numPr>
          <w:ilvl w:val="0"/>
          <w:numId w:val="0"/>
        </w:numPr>
        <w:ind w:hanging="0" w:start="0" w:end="0"/>
        <w:rPr/>
      </w:pPr>
      <w:r>
        <w:rPr/>
        <w:t xml:space="preserve">ISO requires up to 5% of PG&amp;E's firm load to be shed, 10% in cases where the </w:t>
      </w:r>
    </w:p>
    <w:p>
      <w:pPr>
        <w:pStyle w:val="Normal"/>
        <w:numPr>
          <w:ilvl w:val="0"/>
          <w:numId w:val="0"/>
        </w:numPr>
        <w:ind w:hanging="0" w:start="720" w:end="0"/>
        <w:rPr/>
      </w:pPr>
      <w:r>
        <w:rPr/>
        <w:t xml:space="preserve">ISO requires between 5.01% and 10% of PG&amp;E's firm load to be shed, 15% in cases where the ISO requires between 10.01% and 15% of PG&amp;E's firm load to </w:t>
      </w:r>
    </w:p>
    <w:p>
      <w:pPr>
        <w:pStyle w:val="Normal"/>
        <w:numPr>
          <w:ilvl w:val="0"/>
          <w:numId w:val="0"/>
        </w:numPr>
        <w:ind w:hanging="0" w:start="0" w:end="0"/>
        <w:rPr/>
      </w:pPr>
      <w:r>
        <w:rPr/>
        <w:t>be shed, and 20% when the ISO requires PG&amp;E to shed over 15% of its firm load.</w:t>
      </w:r>
    </w:p>
    <w:p>
      <w:pPr>
        <w:pStyle w:val="Normal"/>
        <w:numPr>
          <w:ilvl w:val="0"/>
          <w:numId w:val="0"/>
        </w:numPr>
        <w:ind w:hanging="0" w:start="0" w:end="0"/>
        <w:rPr/>
      </w:pPr>
      <w:r>
        <w:rPr/>
      </w:r>
    </w:p>
    <w:p>
      <w:pPr>
        <w:pStyle w:val="Normal"/>
        <w:numPr>
          <w:ilvl w:val="0"/>
          <w:numId w:val="2"/>
        </w:numPr>
        <w:tabs>
          <w:tab w:val="clear" w:pos="720"/>
          <w:tab w:val="left" w:pos="0" w:leader="none"/>
        </w:tabs>
        <w:ind w:hanging="1440" w:start="1440" w:end="0"/>
        <w:rPr/>
      </w:pPr>
      <w:r>
        <w:rPr/>
        <w:t xml:space="preserve">PG&amp;E will notify the customer of the required percentage reduction, start time, </w:t>
      </w:r>
    </w:p>
    <w:p>
      <w:pPr>
        <w:pStyle w:val="Normal"/>
        <w:numPr>
          <w:ilvl w:val="0"/>
          <w:numId w:val="0"/>
        </w:numPr>
        <w:ind w:hanging="0" w:start="0" w:end="0"/>
        <w:rPr/>
      </w:pPr>
      <w:r>
        <w:rPr/>
        <w:t xml:space="preserve">and end times for the RO (MCP).  At the direction of the ISO, PG&amp;E may extend </w:t>
      </w:r>
    </w:p>
    <w:p>
      <w:pPr>
        <w:pStyle w:val="Normal"/>
        <w:numPr>
          <w:ilvl w:val="0"/>
          <w:numId w:val="0"/>
        </w:numPr>
        <w:ind w:hanging="0" w:start="0" w:end="0"/>
        <w:rPr/>
      </w:pPr>
      <w:r>
        <w:rPr/>
        <w:t>the end time or increase the percentage reduction of any ongoing RO.</w:t>
      </w:r>
    </w:p>
    <w:p>
      <w:pPr>
        <w:pStyle w:val="Normal"/>
        <w:numPr>
          <w:ilvl w:val="0"/>
          <w:numId w:val="0"/>
        </w:numPr>
        <w:ind w:hanging="0" w:start="0" w:end="0"/>
        <w:rPr/>
      </w:pPr>
      <w:r>
        <w:rPr/>
      </w:r>
    </w:p>
    <w:p>
      <w:pPr>
        <w:pStyle w:val="Normal"/>
        <w:numPr>
          <w:ilvl w:val="0"/>
          <w:numId w:val="2"/>
        </w:numPr>
        <w:tabs>
          <w:tab w:val="clear" w:pos="720"/>
          <w:tab w:val="left" w:pos="0" w:leader="none"/>
        </w:tabs>
        <w:ind w:hanging="1440" w:start="1440" w:end="0"/>
        <w:rPr/>
      </w:pPr>
      <w:r>
        <w:rPr/>
        <w:t xml:space="preserve">The baseline for load reduction and compliance will be calculated consistent with </w:t>
      </w:r>
    </w:p>
    <w:p>
      <w:pPr>
        <w:pStyle w:val="Normal"/>
        <w:numPr>
          <w:ilvl w:val="0"/>
          <w:numId w:val="0"/>
        </w:numPr>
        <w:ind w:hanging="0" w:start="0" w:end="0"/>
        <w:rPr/>
      </w:pPr>
      <w:r>
        <w:rPr/>
        <w:t xml:space="preserve">the approach taken in the E-BID tariff which uses the average recorded hourly </w:t>
      </w:r>
    </w:p>
    <w:p>
      <w:pPr>
        <w:pStyle w:val="Normal"/>
        <w:numPr>
          <w:ilvl w:val="0"/>
          <w:numId w:val="0"/>
        </w:numPr>
        <w:ind w:hanging="0" w:start="0" w:end="0"/>
        <w:rPr/>
      </w:pPr>
      <w:r>
        <w:rPr/>
        <w:t xml:space="preserve">usage amounts for these same hours on the most recent available 10 weekdays, </w:t>
      </w:r>
    </w:p>
    <w:p>
      <w:pPr>
        <w:pStyle w:val="Normal"/>
        <w:numPr>
          <w:ilvl w:val="0"/>
          <w:numId w:val="0"/>
        </w:numPr>
        <w:ind w:hanging="0" w:start="0" w:end="0"/>
        <w:rPr/>
      </w:pPr>
      <w:r>
        <w:rPr/>
        <w:t xml:space="preserve">excluding holidays.  Customer load shedding associated with our paid curtailment </w:t>
      </w:r>
    </w:p>
    <w:p>
      <w:pPr>
        <w:pStyle w:val="Normal"/>
        <w:numPr>
          <w:ilvl w:val="0"/>
          <w:numId w:val="0"/>
        </w:numPr>
        <w:ind w:hanging="0" w:start="0" w:end="0"/>
        <w:rPr/>
      </w:pPr>
      <w:r>
        <w:rPr/>
        <w:t xml:space="preserve">program (e.g. nonfirm, E-BID, ISO ancillary service programs, etc.) during that </w:t>
      </w:r>
    </w:p>
    <w:p>
      <w:pPr>
        <w:pStyle w:val="Normal"/>
        <w:numPr>
          <w:ilvl w:val="0"/>
          <w:numId w:val="0"/>
        </w:numPr>
        <w:ind w:hanging="0" w:start="0" w:end="0"/>
        <w:rPr/>
      </w:pPr>
      <w:r>
        <w:rPr/>
        <w:t xml:space="preserve">period of time would be factored out of this calculation.  This is consistent with </w:t>
      </w:r>
    </w:p>
    <w:p>
      <w:pPr>
        <w:pStyle w:val="Normal"/>
        <w:numPr>
          <w:ilvl w:val="0"/>
          <w:numId w:val="0"/>
        </w:numPr>
        <w:ind w:hanging="0" w:start="0" w:end="0"/>
        <w:rPr/>
      </w:pPr>
      <w:r>
        <w:rPr/>
        <w:t>our treatment of nonfirm customers who choose to participate in E-BID.</w:t>
      </w:r>
    </w:p>
    <w:p>
      <w:pPr>
        <w:pStyle w:val="Normal"/>
        <w:numPr>
          <w:ilvl w:val="0"/>
          <w:numId w:val="0"/>
        </w:numPr>
        <w:ind w:hanging="0" w:start="0" w:end="0"/>
        <w:rPr/>
      </w:pPr>
      <w:r>
        <w:rPr/>
      </w:r>
    </w:p>
    <w:p>
      <w:pPr>
        <w:pStyle w:val="Normal"/>
        <w:numPr>
          <w:ilvl w:val="0"/>
          <w:numId w:val="2"/>
        </w:numPr>
        <w:tabs>
          <w:tab w:val="clear" w:pos="720"/>
          <w:tab w:val="left" w:pos="0" w:leader="none"/>
        </w:tabs>
        <w:ind w:hanging="1440" w:start="1440" w:end="0"/>
        <w:rPr/>
      </w:pPr>
      <w:r>
        <w:rPr/>
        <w:t xml:space="preserve">Power usage in excess of the established baseline would be billed to the customer </w:t>
      </w:r>
    </w:p>
    <w:p>
      <w:pPr>
        <w:pStyle w:val="Normal"/>
        <w:numPr>
          <w:ilvl w:val="0"/>
          <w:numId w:val="0"/>
        </w:numPr>
        <w:ind w:hanging="0" w:start="0" w:end="0"/>
        <w:rPr/>
      </w:pPr>
      <w:r>
        <w:rPr/>
        <w:t xml:space="preserve">as a penalty at twice the applicable hourly ISO supplementary real time price.   </w:t>
      </w:r>
    </w:p>
    <w:p>
      <w:pPr>
        <w:pStyle w:val="Normal"/>
        <w:numPr>
          <w:ilvl w:val="0"/>
          <w:numId w:val="0"/>
        </w:numPr>
        <w:ind w:hanging="0" w:start="0" w:end="0"/>
        <w:rPr/>
      </w:pPr>
      <w:r>
        <w:rPr/>
      </w:r>
    </w:p>
    <w:p>
      <w:pPr>
        <w:pStyle w:val="Normal"/>
        <w:numPr>
          <w:ilvl w:val="0"/>
          <w:numId w:val="2"/>
        </w:numPr>
        <w:tabs>
          <w:tab w:val="clear" w:pos="720"/>
          <w:tab w:val="left" w:pos="0" w:leader="none"/>
        </w:tabs>
        <w:ind w:hanging="1440" w:start="1440" w:end="0"/>
        <w:rPr/>
      </w:pPr>
      <w:r>
        <w:rPr/>
        <w:t xml:space="preserve">Customer compliance would be determined from the telephone read electric </w:t>
      </w:r>
    </w:p>
    <w:p>
      <w:pPr>
        <w:pStyle w:val="Normal"/>
        <w:numPr>
          <w:ilvl w:val="0"/>
          <w:numId w:val="0"/>
        </w:numPr>
        <w:ind w:hanging="0" w:start="0" w:end="0"/>
        <w:rPr/>
      </w:pPr>
      <w:r>
        <w:rPr/>
        <w:t xml:space="preserve">revenue interval meter.  Direct Access customers will be required to allow PG&amp;E </w:t>
      </w:r>
    </w:p>
    <w:p>
      <w:pPr>
        <w:pStyle w:val="Normal"/>
        <w:numPr>
          <w:ilvl w:val="0"/>
          <w:numId w:val="0"/>
        </w:numPr>
        <w:ind w:hanging="0" w:start="0" w:end="0"/>
        <w:rPr/>
      </w:pPr>
      <w:r>
        <w:rPr/>
        <w:t>telephone access to its electric revenue meter.  Where the existing meter is non-</w:t>
      </w:r>
    </w:p>
    <w:p>
      <w:pPr>
        <w:pStyle w:val="Normal"/>
        <w:numPr>
          <w:ilvl w:val="0"/>
          <w:numId w:val="0"/>
        </w:numPr>
        <w:ind w:hanging="0" w:start="0" w:end="0"/>
        <w:rPr/>
      </w:pPr>
      <w:r>
        <w:rPr/>
        <w:t xml:space="preserve">interval or is not compatible with PG&amp;E's current telephone based meter reading </w:t>
      </w:r>
    </w:p>
    <w:p>
      <w:pPr>
        <w:pStyle w:val="Normal"/>
        <w:numPr>
          <w:ilvl w:val="0"/>
          <w:numId w:val="0"/>
        </w:numPr>
        <w:ind w:hanging="0" w:start="0" w:end="0"/>
        <w:rPr/>
      </w:pPr>
      <w:r>
        <w:rPr/>
        <w:t xml:space="preserve">systems, the customer would be required to pay for the installation of an interval </w:t>
      </w:r>
    </w:p>
    <w:p>
      <w:pPr>
        <w:pStyle w:val="Normal"/>
        <w:numPr>
          <w:ilvl w:val="0"/>
          <w:numId w:val="0"/>
        </w:numPr>
        <w:ind w:hanging="0" w:start="0" w:end="0"/>
        <w:rPr/>
      </w:pPr>
      <w:r>
        <w:rPr/>
        <w:t>meter or any additional costs PG&amp;E might incur (including monthly phone costs)</w:t>
      </w:r>
    </w:p>
    <w:p>
      <w:pPr>
        <w:pStyle w:val="Normal"/>
        <w:numPr>
          <w:ilvl w:val="0"/>
          <w:numId w:val="0"/>
        </w:numPr>
        <w:ind w:hanging="0" w:start="0" w:end="0"/>
        <w:rPr/>
      </w:pPr>
      <w:r>
        <w:rPr/>
      </w:r>
    </w:p>
    <w:p>
      <w:pPr>
        <w:pStyle w:val="Normal"/>
        <w:numPr>
          <w:ilvl w:val="0"/>
          <w:numId w:val="2"/>
        </w:numPr>
        <w:tabs>
          <w:tab w:val="clear" w:pos="720"/>
          <w:tab w:val="left" w:pos="0" w:leader="none"/>
        </w:tabs>
        <w:ind w:hanging="1440" w:start="1440" w:end="0"/>
        <w:rPr/>
      </w:pPr>
      <w:r>
        <w:rPr/>
        <w:t xml:space="preserve">The transmission customer must specify a primary and secondary contact, the </w:t>
      </w:r>
    </w:p>
    <w:p>
      <w:pPr>
        <w:pStyle w:val="Normal"/>
        <w:numPr>
          <w:ilvl w:val="0"/>
          <w:numId w:val="0"/>
        </w:numPr>
        <w:ind w:hanging="0" w:start="720" w:end="0"/>
        <w:rPr/>
      </w:pPr>
      <w:r>
        <w:rPr/>
        <w:t xml:space="preserve">primary pager number and facsimile number that will be used for customer  notification.  </w:t>
      </w:r>
    </w:p>
    <w:p>
      <w:pPr>
        <w:pStyle w:val="Normal"/>
        <w:numPr>
          <w:ilvl w:val="0"/>
          <w:numId w:val="0"/>
        </w:numPr>
        <w:ind w:hanging="0" w:start="0" w:end="0"/>
        <w:rPr/>
      </w:pPr>
      <w:r>
        <w:rPr/>
      </w:r>
    </w:p>
    <w:p>
      <w:pPr>
        <w:pStyle w:val="Normal"/>
        <w:numPr>
          <w:ilvl w:val="0"/>
          <w:numId w:val="2"/>
        </w:numPr>
        <w:tabs>
          <w:tab w:val="clear" w:pos="720"/>
          <w:tab w:val="left" w:pos="0" w:leader="none"/>
        </w:tabs>
        <w:ind w:hanging="1440" w:start="1440" w:end="0"/>
        <w:rPr/>
      </w:pPr>
      <w:r>
        <w:rPr/>
        <w:t xml:space="preserve">The required load reduction must be achieved as quickly as possible, but no later </w:t>
      </w:r>
    </w:p>
    <w:p>
      <w:pPr>
        <w:pStyle w:val="Normal"/>
        <w:numPr>
          <w:ilvl w:val="0"/>
          <w:numId w:val="0"/>
        </w:numPr>
        <w:ind w:hanging="0" w:start="0" w:end="0"/>
        <w:rPr/>
      </w:pPr>
      <w:r>
        <w:rPr/>
        <w:t>than 15 minutes after the primary customer receives notification from PG&amp;E.</w:t>
      </w:r>
    </w:p>
    <w:p>
      <w:pPr>
        <w:pStyle w:val="Normal"/>
        <w:numPr>
          <w:ilvl w:val="0"/>
          <w:numId w:val="0"/>
        </w:numPr>
        <w:ind w:hanging="0" w:start="0" w:end="0"/>
        <w:rPr/>
      </w:pPr>
      <w:r>
        <w:rPr/>
      </w:r>
    </w:p>
    <w:p>
      <w:pPr>
        <w:pStyle w:val="Normal"/>
        <w:numPr>
          <w:ilvl w:val="0"/>
          <w:numId w:val="2"/>
        </w:numPr>
        <w:tabs>
          <w:tab w:val="clear" w:pos="720"/>
          <w:tab w:val="left" w:pos="0" w:leader="none"/>
        </w:tabs>
        <w:ind w:hanging="1440" w:start="1440" w:end="0"/>
        <w:rPr/>
      </w:pPr>
      <w:r>
        <w:rPr/>
        <w:t xml:space="preserve">Customers failing to comply for the entire duration of any RO will be billed </w:t>
      </w:r>
    </w:p>
    <w:p>
      <w:pPr>
        <w:pStyle w:val="Normal"/>
        <w:numPr>
          <w:ilvl w:val="0"/>
          <w:numId w:val="0"/>
        </w:numPr>
        <w:ind w:hanging="0" w:start="0" w:end="0"/>
        <w:rPr/>
      </w:pPr>
      <w:r>
        <w:rPr/>
        <w:t xml:space="preserve">according to the penalty established in #3 above.  If the customer fails to curtail to </w:t>
      </w:r>
    </w:p>
    <w:p>
      <w:pPr>
        <w:pStyle w:val="Normal"/>
        <w:numPr>
          <w:ilvl w:val="0"/>
          <w:numId w:val="0"/>
        </w:numPr>
        <w:ind w:hanging="0" w:start="720" w:end="0"/>
        <w:rPr/>
      </w:pPr>
      <w:r>
        <w:rPr/>
        <w:t>its appropriate baseline during two or more rotating outages, OR fails to pay its penalties for non-compliance, PG&amp;E may place them on a RO block.</w:t>
      </w:r>
    </w:p>
    <w:p>
      <w:pPr>
        <w:pStyle w:val="Normal"/>
        <w:numPr>
          <w:ilvl w:val="0"/>
          <w:numId w:val="0"/>
        </w:numPr>
        <w:ind w:hanging="0" w:start="720" w:end="0"/>
        <w:rPr/>
      </w:pPr>
      <w:r>
        <w:rPr/>
      </w:r>
    </w:p>
    <w:p>
      <w:pPr>
        <w:pStyle w:val="Normal"/>
        <w:numPr>
          <w:ilvl w:val="0"/>
          <w:numId w:val="2"/>
        </w:numPr>
        <w:tabs>
          <w:tab w:val="clear" w:pos="720"/>
          <w:tab w:val="left" w:pos="0" w:leader="none"/>
        </w:tabs>
        <w:ind w:hanging="1440" w:start="1440" w:end="0"/>
        <w:rPr/>
      </w:pPr>
      <w:r>
        <w:rPr/>
        <w:t xml:space="preserve">For 60 days following the CPUC's decision related to this tariff or May 1, 2001 </w:t>
      </w:r>
    </w:p>
    <w:p>
      <w:pPr>
        <w:pStyle w:val="Normal"/>
        <w:numPr>
          <w:ilvl w:val="0"/>
          <w:numId w:val="0"/>
        </w:numPr>
        <w:ind w:hanging="0" w:start="0" w:end="0"/>
        <w:rPr/>
      </w:pPr>
      <w:r>
        <w:rPr/>
        <w:t xml:space="preserve">whichever comes first, Transmission customers will be allowed the option of </w:t>
      </w:r>
    </w:p>
    <w:p>
      <w:pPr>
        <w:pStyle w:val="Normal"/>
        <w:numPr>
          <w:ilvl w:val="0"/>
          <w:numId w:val="0"/>
        </w:numPr>
        <w:ind w:hanging="0" w:start="0" w:end="0"/>
        <w:rPr/>
      </w:pPr>
      <w:r>
        <w:rPr/>
        <w:t xml:space="preserve">being placed on an RO block instead of participating in an MCP.  In subsequent </w:t>
      </w:r>
    </w:p>
    <w:p>
      <w:pPr>
        <w:pStyle w:val="Normal"/>
        <w:numPr>
          <w:ilvl w:val="0"/>
          <w:numId w:val="0"/>
        </w:numPr>
        <w:ind w:hanging="0" w:start="720" w:end="0"/>
        <w:rPr/>
      </w:pPr>
      <w:r>
        <w:rPr/>
        <w:t>years, customers may only change this election between November 1 and December.  Customers who have been assigned a rotating outage block, participate in the MCP, and return to the RO queue may not be placed in the same RO block as initially designated.</w:t>
      </w:r>
    </w:p>
    <w:p>
      <w:pPr>
        <w:pStyle w:val="Normal"/>
        <w:numPr>
          <w:ilvl w:val="0"/>
          <w:numId w:val="0"/>
        </w:numPr>
        <w:ind w:hanging="0" w:start="720" w:end="0"/>
        <w:rPr/>
      </w:pPr>
      <w:r>
        <w:rPr/>
      </w:r>
    </w:p>
    <w:p>
      <w:pPr>
        <w:pStyle w:val="Normal"/>
        <w:numPr>
          <w:ilvl w:val="0"/>
          <w:numId w:val="2"/>
        </w:numPr>
        <w:tabs>
          <w:tab w:val="clear" w:pos="720"/>
          <w:tab w:val="left" w:pos="0" w:leader="none"/>
        </w:tabs>
        <w:ind w:hanging="720" w:start="1440" w:end="0"/>
        <w:rPr/>
      </w:pPr>
      <w:r>
        <w:rPr/>
        <w:t xml:space="preserve">Transmission customers opting to be placed in a RO shall be required to sign a </w:t>
      </w:r>
    </w:p>
    <w:p>
      <w:pPr>
        <w:pStyle w:val="Normal"/>
        <w:ind w:firstLine="720" w:end="0"/>
        <w:rPr/>
      </w:pPr>
      <w:r>
        <w:rPr/>
        <w:t xml:space="preserve">standard form agreement prior to them being placed in the queue.  </w:t>
      </w:r>
    </w:p>
    <w:p>
      <w:pPr>
        <w:pStyle w:val="Normal"/>
        <w:ind w:firstLine="720" w:end="0"/>
        <w:rPr/>
      </w:pPr>
      <w:r>
        <w:rPr/>
      </w:r>
    </w:p>
    <w:p>
      <w:pPr>
        <w:pStyle w:val="Normal"/>
        <w:ind w:firstLine="720" w:end="0"/>
        <w:rPr/>
      </w:pPr>
      <w:r>
        <w:rPr/>
      </w:r>
    </w:p>
    <w:p>
      <w:pPr>
        <w:pStyle w:val="Heading1"/>
        <w:ind w:hanging="0" w:start="0"/>
        <w:rPr/>
      </w:pPr>
      <w:r>
        <w:rPr/>
        <w:t>QUESTIONS AND ANSWERS</w:t>
      </w:r>
    </w:p>
    <w:p>
      <w:pPr>
        <w:pStyle w:val="Normal"/>
        <w:rPr/>
      </w:pPr>
      <w:r>
        <w:rPr/>
      </w:r>
    </w:p>
    <w:p>
      <w:pPr>
        <w:pStyle w:val="Normal"/>
        <w:rPr/>
      </w:pPr>
      <w:r>
        <w:rPr/>
        <w:t>Question 1:</w:t>
        <w:tab/>
        <w:t>How is the MCP tariffs different than the OBMC plan?</w:t>
      </w:r>
    </w:p>
    <w:p>
      <w:pPr>
        <w:pStyle w:val="Normal"/>
        <w:rPr/>
      </w:pPr>
      <w:r>
        <w:rPr/>
        <w:t>Answer 1:</w:t>
        <w:tab/>
        <w:t xml:space="preserve">The MCP would require that all transmission customers reduce their </w:t>
      </w:r>
    </w:p>
    <w:p>
      <w:pPr>
        <w:pStyle w:val="Normal"/>
        <w:ind w:start="1440" w:end="0"/>
        <w:rPr/>
      </w:pPr>
      <w:r>
        <w:rPr/>
        <w:t>electric usage by a prescribed amount.  If they do not they will be penalized and perhaps placed in the RO queue.  The OBMC is just the opposite.  Distribution customers are now required to be placed on an RO, but can opt to curtail.  If they do not curtail, they would return to an RO block.  As an outcome of this difference, transmission customers do not have to file a curtailment plan with PG&amp;E.</w:t>
      </w:r>
      <w:r>
        <w:br w:type="page"/>
      </w:r>
    </w:p>
    <w:p>
      <w:pPr>
        <w:pStyle w:val="Normal"/>
        <w:rPr/>
      </w:pPr>
      <w:r>
        <w:rPr/>
        <w:t>Question 2:</w:t>
        <w:tab/>
        <w:t xml:space="preserve">How will we calculate penalties for a nonfirm customer who has already </w:t>
      </w:r>
    </w:p>
    <w:p>
      <w:pPr>
        <w:pStyle w:val="Normal"/>
        <w:ind w:firstLine="720" w:start="720" w:end="0"/>
        <w:rPr/>
      </w:pPr>
      <w:r>
        <w:rPr/>
        <w:t>shed load to its FSL?</w:t>
      </w:r>
    </w:p>
    <w:p>
      <w:pPr>
        <w:pStyle w:val="Normal"/>
        <w:ind w:hanging="1440" w:start="1440" w:end="0"/>
        <w:rPr/>
      </w:pPr>
      <w:r>
        <w:rPr/>
        <w:t>Answer 2:</w:t>
        <w:tab/>
        <w:t>Customers who participate in any utility, PX or ISO program which pays for dropping load will be expected to make an MCP load reduction in addition to the load it was paid to drop.  This is an outcome of the way the</w:t>
      </w:r>
    </w:p>
    <w:p>
      <w:pPr>
        <w:pStyle w:val="Normal"/>
        <w:ind w:start="1440" w:end="0"/>
        <w:rPr/>
      </w:pPr>
      <w:r>
        <w:rPr/>
        <w:t>MCP baseline is calculated.  Of course, customers with a FSL of zero (or less than 5% of their total load) cannot be expected to drop any more load or put energy into the system to meet this criteria.</w:t>
      </w:r>
    </w:p>
    <w:p>
      <w:pPr>
        <w:pStyle w:val="Normal"/>
        <w:rPr/>
      </w:pPr>
      <w:r>
        <w:rPr/>
      </w:r>
    </w:p>
    <w:p>
      <w:pPr>
        <w:pStyle w:val="Normal"/>
        <w:rPr/>
      </w:pPr>
      <w:r>
        <w:rPr/>
        <w:t>Question 3:</w:t>
        <w:tab/>
        <w:t>Why is PG&amp;E filing this proposal?</w:t>
      </w:r>
    </w:p>
    <w:p>
      <w:pPr>
        <w:pStyle w:val="Normal"/>
        <w:rPr/>
      </w:pPr>
      <w:r>
        <w:rPr/>
        <w:t>Answer 3:</w:t>
        <w:tab/>
        <w:t xml:space="preserve">Many reasons.  First, it appears clear that back in 1982 that the CPUC </w:t>
      </w:r>
    </w:p>
    <w:p>
      <w:pPr>
        <w:pStyle w:val="Normal"/>
        <w:ind w:start="1440" w:end="0"/>
        <w:rPr/>
      </w:pPr>
      <w:r>
        <w:rPr/>
        <w:t>intended for all customers to participate in rotating outages or curtailment activities.  This is only fair.  However, at that time there were few transmission customers.  Today, there are about 170 transmission customers accounting for about 5% or our total load.  The same decision may not be appropriate today.  Without a CPUC ruling, PG&amp;E is at risk for treating transmission and distribution customers inequitably and could be subject to fines.  The CPUC staff has already asked us how we are treating transmission customers and when they learned that transmission customers were not currently on RO blocks, they asked for our proposal to include them.</w:t>
      </w:r>
    </w:p>
    <w:sectPr>
      <w:type w:val="nextPage"/>
      <w:pgSz w:w="12240" w:h="15840"/>
      <w:pgMar w:left="1800" w:right="1800" w:gutter="0" w:header="0" w:top="1440" w:footer="0"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2000-09-14T14:08:00Z</dcterms:created>
  <dc:creator>California Manufacturers Association</dc:creator>
  <dc:description/>
  <dc:language>en-CA</dc:language>
  <cp:lastModifiedBy>California Manufacturers Association</cp:lastModifiedBy>
  <dcterms:modified xsi:type="dcterms:W3CDTF">2000-09-14T14:25:00Z</dcterms:modified>
  <cp:revision>1</cp:revision>
  <dc:subject/>
  <dc:title>MANDATORY CURTAILMENT PLAN (MCP)</dc:title>
</cp:coreProperties>
</file>