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rPr>
        <w:t>Proposed MAIN Regional Compliance and Enforcement Program (MAIN Program)</w:t>
      </w:r>
    </w:p>
    <w:p>
      <w:pPr>
        <w:pStyle w:val="Normal"/>
        <w:rPr>
          <w:b/>
          <w:sz w:val="22"/>
        </w:rPr>
      </w:pPr>
      <w:r>
        <w:rPr>
          <w:b/>
          <w:sz w:val="22"/>
        </w:rPr>
      </w:r>
    </w:p>
    <w:p>
      <w:pPr>
        <w:pStyle w:val="Normal"/>
        <w:rPr>
          <w:b/>
          <w:sz w:val="22"/>
        </w:rPr>
      </w:pPr>
      <w:r>
        <w:rPr>
          <w:b/>
          <w:sz w:val="22"/>
        </w:rPr>
      </w:r>
    </w:p>
    <w:p>
      <w:pPr>
        <w:pStyle w:val="Normal"/>
        <w:rPr>
          <w:b/>
          <w:sz w:val="22"/>
        </w:rPr>
      </w:pPr>
      <w:r>
        <w:rPr>
          <w:b/>
          <w:sz w:val="22"/>
        </w:rPr>
        <w:t>Purpose of MAIN Program</w:t>
      </w:r>
    </w:p>
    <w:p>
      <w:pPr>
        <w:pStyle w:val="Normal"/>
        <w:rPr>
          <w:b/>
          <w:sz w:val="22"/>
        </w:rPr>
      </w:pPr>
      <w:r>
        <w:rPr>
          <w:b/>
          <w:sz w:val="22"/>
        </w:rPr>
      </w:r>
    </w:p>
    <w:p>
      <w:pPr>
        <w:pStyle w:val="Normal"/>
        <w:rPr>
          <w:sz w:val="22"/>
        </w:rPr>
      </w:pPr>
      <w:r>
        <w:rPr>
          <w:sz w:val="22"/>
        </w:rPr>
        <w:t>The purpose of the MAIN Regional Compliance and Enforcement Program (MAIN Program) is to implement the Agreement for Regional Compliance and Enforcement Programs (NERC Agreement) approved by the NERC Board of Trustees on February 13, 2001.  The NERC Agreement is a voluntary agreement between NERC and the Regional Reliability Councils designed to supplement the existing NERC Compliance Program with a program under which participants agree to comply with Designated Reliability Standards subject to penalties and sanctions for non-compliance.  The purpose of the NERC Compliance Program is to provide an enforcement mechanism for certain critical reliability standards as the power markets move toward greater competition.  MAIN members (and non-members) that voluntarily sign the proposed Agreement for Participation in MAIN Regional Compliance and Enforcement Program (MAIN Agreement) would be bound to comply with the Designated Reliability Standards of the NERC Agreement. Financial, as well as letter, sanctions would be assessed to participants for non-compliance.</w:t>
      </w:r>
    </w:p>
    <w:p>
      <w:pPr>
        <w:pStyle w:val="Normal"/>
        <w:rPr>
          <w:sz w:val="22"/>
        </w:rPr>
      </w:pPr>
      <w:r>
        <w:rPr>
          <w:sz w:val="22"/>
        </w:rPr>
      </w:r>
    </w:p>
    <w:p>
      <w:pPr>
        <w:pStyle w:val="Normal"/>
        <w:rPr>
          <w:sz w:val="22"/>
        </w:rPr>
      </w:pPr>
      <w:r>
        <w:rPr>
          <w:sz w:val="22"/>
        </w:rPr>
        <w:t>The MAIN Plan B Task Force believes that the proposed MAIN Program meets the requirements for regional compliance programs under the NERC Agreement.  Signing on to the MAIN Program would be voluntary.  The MAIN Program allows direct oversight by all signatories and would be a supplement to the existing MAIN Compliance Program.</w:t>
      </w:r>
    </w:p>
    <w:p>
      <w:pPr>
        <w:pStyle w:val="Normal"/>
        <w:rPr>
          <w:b/>
          <w:sz w:val="22"/>
        </w:rPr>
      </w:pPr>
      <w:r>
        <w:rPr>
          <w:b/>
          <w:sz w:val="22"/>
        </w:rPr>
      </w:r>
    </w:p>
    <w:p>
      <w:pPr>
        <w:pStyle w:val="Normal"/>
        <w:rPr>
          <w:b/>
          <w:sz w:val="22"/>
        </w:rPr>
      </w:pPr>
      <w:r>
        <w:rPr>
          <w:b/>
          <w:sz w:val="22"/>
        </w:rPr>
        <w:t>Development of MAIN Compliance and Enforcement Program Development (MAIN Program)</w:t>
      </w:r>
    </w:p>
    <w:p>
      <w:pPr>
        <w:pStyle w:val="Normal"/>
        <w:rPr>
          <w:b/>
          <w:sz w:val="22"/>
        </w:rPr>
      </w:pPr>
      <w:r>
        <w:rPr>
          <w:b/>
          <w:sz w:val="22"/>
        </w:rPr>
      </w:r>
    </w:p>
    <w:p>
      <w:pPr>
        <w:pStyle w:val="Normal"/>
        <w:rPr>
          <w:sz w:val="22"/>
        </w:rPr>
      </w:pPr>
      <w:r>
        <w:rPr>
          <w:sz w:val="22"/>
        </w:rPr>
        <w:t>The MAIN members met by conference call on March 9, 2001 to determine if MAIN should sign the NERC Agreement and, if so, how MAIN should proceed in developing a regional compliance program for its members.  A MAIN regional compliance program would be required to meet the requirements of the NERC Agreement.</w:t>
      </w:r>
    </w:p>
    <w:p>
      <w:pPr>
        <w:pStyle w:val="Normal"/>
        <w:rPr>
          <w:sz w:val="22"/>
        </w:rPr>
      </w:pPr>
      <w:r>
        <w:rPr>
          <w:sz w:val="22"/>
        </w:rPr>
      </w:r>
    </w:p>
    <w:p>
      <w:pPr>
        <w:pStyle w:val="Normal"/>
        <w:rPr>
          <w:sz w:val="22"/>
        </w:rPr>
      </w:pPr>
      <w:r>
        <w:rPr>
          <w:sz w:val="22"/>
        </w:rPr>
        <w:t>The MAIN members decided that MAIN should first determine the form of agreement (if any) that MAIN members would be asked to sign before approving MAIN signing the NERC Agreement.  MAIN Chairman Bob Harbour asked for volunteers to develop a draft MAIN Agreement as well as accompanying Exhibits needed to meet the NERC Agreement requirements.</w:t>
      </w:r>
    </w:p>
    <w:p>
      <w:pPr>
        <w:pStyle w:val="Normal"/>
        <w:rPr>
          <w:sz w:val="22"/>
        </w:rPr>
      </w:pPr>
      <w:r>
        <w:rPr>
          <w:sz w:val="22"/>
        </w:rPr>
      </w:r>
    </w:p>
    <w:p>
      <w:pPr>
        <w:pStyle w:val="Normal"/>
        <w:rPr>
          <w:sz w:val="22"/>
        </w:rPr>
      </w:pPr>
      <w:r>
        <w:rPr>
          <w:sz w:val="22"/>
        </w:rPr>
        <w:t>A Task Force was subsequently formed. Members included Peter Steitz from WPPI as Chairman, Jim Keller from WEPCo, Rick Post from Ameren, James Fuhrmann from IP, Peg Abbadini from CILCo, Don Morrow from ATC and John Blazekovich from Exelon plus Jim Dodge and Norb Mizwicki from MAIN Compliance Staff.</w:t>
      </w:r>
    </w:p>
    <w:p>
      <w:pPr>
        <w:pStyle w:val="Normal"/>
        <w:rPr>
          <w:sz w:val="22"/>
        </w:rPr>
      </w:pPr>
      <w:r>
        <w:rPr>
          <w:sz w:val="22"/>
        </w:rPr>
      </w:r>
    </w:p>
    <w:p>
      <w:pPr>
        <w:pStyle w:val="Normal"/>
        <w:rPr>
          <w:sz w:val="22"/>
        </w:rPr>
      </w:pPr>
      <w:r>
        <w:rPr>
          <w:sz w:val="22"/>
        </w:rPr>
        <w:t>The Task Force concluded that development of a separate contract would be the best venue for MAIN members as well as non- members to participate in the MAIN Program.  The separate contract approach is used in the NERC Agreement.  Of the ten regions in NERC, nine are using the NERC contract approach. SPP decided to use their existing Regional Agreement to constitute the SPP Agreement required by the NERC Agreement.  To date, seven of the ten Regions have signed the NERC Agreement.  This exceeds the minimum of six regions signing requirement to implement the NERC Agreement.  MAPP, MAAC and MAIN are working towards signing the NERC Agreement.</w:t>
      </w:r>
    </w:p>
    <w:p>
      <w:pPr>
        <w:pStyle w:val="Normal"/>
        <w:rPr>
          <w:sz w:val="22"/>
        </w:rPr>
      </w:pPr>
      <w:r>
        <w:rPr>
          <w:sz w:val="22"/>
        </w:rPr>
      </w:r>
    </w:p>
    <w:p>
      <w:pPr>
        <w:pStyle w:val="Normal"/>
        <w:rPr>
          <w:sz w:val="22"/>
        </w:rPr>
      </w:pPr>
      <w:r>
        <w:rPr>
          <w:sz w:val="22"/>
        </w:rPr>
      </w:r>
    </w:p>
    <w:p>
      <w:pPr>
        <w:pStyle w:val="Normal"/>
        <w:rPr>
          <w:sz w:val="22"/>
        </w:rPr>
      </w:pPr>
      <w:r>
        <w:rPr>
          <w:sz w:val="22"/>
        </w:rPr>
      </w:r>
    </w:p>
    <w:p>
      <w:pPr>
        <w:pStyle w:val="Heading1"/>
        <w:ind w:hanging="0" w:start="0"/>
        <w:rPr/>
      </w:pPr>
      <w:r>
        <w:rPr/>
        <w:t>MAIN Program Documents</w:t>
      </w:r>
    </w:p>
    <w:p>
      <w:pPr>
        <w:pStyle w:val="Normal"/>
        <w:rPr/>
      </w:pPr>
      <w:r>
        <w:rPr/>
      </w:r>
    </w:p>
    <w:p>
      <w:pPr>
        <w:pStyle w:val="Normal"/>
        <w:rPr>
          <w:sz w:val="22"/>
        </w:rPr>
      </w:pPr>
      <w:r>
        <w:rPr>
          <w:sz w:val="22"/>
        </w:rPr>
        <w:t>The Draft MAIN Program consists of:</w:t>
      </w:r>
    </w:p>
    <w:p>
      <w:pPr>
        <w:pStyle w:val="Normal"/>
        <w:numPr>
          <w:ilvl w:val="0"/>
          <w:numId w:val="2"/>
        </w:numPr>
        <w:rPr>
          <w:sz w:val="22"/>
        </w:rPr>
      </w:pPr>
      <w:r>
        <w:rPr>
          <w:sz w:val="22"/>
        </w:rPr>
        <w:t>The MAIN Agreement,</w:t>
      </w:r>
    </w:p>
    <w:p>
      <w:pPr>
        <w:pStyle w:val="Normal"/>
        <w:numPr>
          <w:ilvl w:val="0"/>
          <w:numId w:val="2"/>
        </w:numPr>
        <w:rPr>
          <w:sz w:val="22"/>
        </w:rPr>
      </w:pPr>
      <w:r>
        <w:rPr>
          <w:sz w:val="22"/>
        </w:rPr>
        <w:t xml:space="preserve">Exhibit 1-The NERC Agreement, including: </w:t>
      </w:r>
    </w:p>
    <w:p>
      <w:pPr>
        <w:pStyle w:val="Normal"/>
        <w:rPr>
          <w:sz w:val="22"/>
        </w:rPr>
      </w:pPr>
      <w:r>
        <w:rPr>
          <w:sz w:val="22"/>
        </w:rPr>
        <w:tab/>
        <w:t>- Annex A- The Essential Attributes of Regional Compliance and Enforcement Programs,</w:t>
      </w:r>
    </w:p>
    <w:p>
      <w:pPr>
        <w:pStyle w:val="BodyText"/>
        <w:tabs>
          <w:tab w:val="left" w:pos="720" w:leader="none"/>
        </w:tabs>
        <w:ind w:hanging="1530" w:start="1800" w:end="0"/>
        <w:rPr/>
      </w:pPr>
      <w:r>
        <w:rPr/>
        <w:tab/>
        <w:t>- Annex B- The NERC Standards and Measures Reporting Requirements and Process and associated Operating Compliance Templates,</w:t>
      </w:r>
    </w:p>
    <w:p>
      <w:pPr>
        <w:pStyle w:val="Normal"/>
        <w:numPr>
          <w:ilvl w:val="0"/>
          <w:numId w:val="2"/>
        </w:numPr>
        <w:rPr>
          <w:sz w:val="22"/>
        </w:rPr>
      </w:pPr>
      <w:r>
        <w:rPr>
          <w:sz w:val="22"/>
        </w:rPr>
        <w:t>Exhibit 2- The MAIN Compliance and Enforcement Program Particulars.</w:t>
      </w:r>
    </w:p>
    <w:p>
      <w:pPr>
        <w:pStyle w:val="Normal"/>
        <w:rPr>
          <w:sz w:val="22"/>
        </w:rPr>
      </w:pPr>
      <w:r>
        <w:rPr>
          <w:sz w:val="22"/>
        </w:rPr>
      </w:r>
    </w:p>
    <w:p>
      <w:pPr>
        <w:pStyle w:val="Heading1"/>
        <w:ind w:hanging="0" w:start="0"/>
        <w:rPr/>
      </w:pPr>
      <w:r>
        <w:rPr/>
        <w:t>MAIN Agreement</w:t>
      </w:r>
    </w:p>
    <w:p>
      <w:pPr>
        <w:pStyle w:val="Normal"/>
        <w:rPr>
          <w:sz w:val="22"/>
        </w:rPr>
      </w:pPr>
      <w:r>
        <w:rPr>
          <w:sz w:val="22"/>
        </w:rPr>
      </w:r>
    </w:p>
    <w:p>
      <w:pPr>
        <w:pStyle w:val="Normal"/>
        <w:rPr>
          <w:sz w:val="22"/>
        </w:rPr>
      </w:pPr>
      <w:r>
        <w:rPr>
          <w:sz w:val="22"/>
        </w:rPr>
        <w:t>The attached MAIN Agreement outlines the contract particulars for the MAIN Program.  The MAIN Agreement and Exhibit 2 are believed to meet all the essential attributes in the NERC Agreement, as stated in NERC’s Annex A.  The MAIN Agreement follows the general form of the NERC Agreement, but there are differences.  Some of these differences are summarized below:</w:t>
      </w:r>
    </w:p>
    <w:p>
      <w:pPr>
        <w:pStyle w:val="Normal"/>
        <w:rPr>
          <w:sz w:val="22"/>
        </w:rPr>
      </w:pPr>
      <w:r>
        <w:rPr>
          <w:sz w:val="22"/>
        </w:rPr>
      </w:r>
    </w:p>
    <w:p>
      <w:pPr>
        <w:pStyle w:val="BodyTextIndent2"/>
        <w:rPr/>
      </w:pPr>
      <w:r>
        <w:rPr/>
        <w:t>1.</w:t>
        <w:tab/>
        <w:t>The NERC Agreement is between NERC and the Regions that voluntarily sign on to the NERC Agreement.</w:t>
      </w:r>
    </w:p>
    <w:p>
      <w:pPr>
        <w:pStyle w:val="Normal"/>
        <w:ind w:start="360" w:end="0"/>
        <w:rPr>
          <w:sz w:val="22"/>
        </w:rPr>
      </w:pPr>
      <w:r>
        <w:rPr>
          <w:sz w:val="22"/>
        </w:rPr>
        <w:t>The MAIN Agreement is between MAIN and the Members of MAIN and other entities that voluntarily sign the MAIN Agreement.  Other entities may also sign and execute this MAIN Agreement and become a Party to the MAIN Agreement if MAIN and the applying Party determine mutual benefit.</w:t>
      </w:r>
    </w:p>
    <w:p>
      <w:pPr>
        <w:pStyle w:val="Normal"/>
        <w:rPr>
          <w:sz w:val="22"/>
        </w:rPr>
      </w:pPr>
      <w:r>
        <w:rPr>
          <w:sz w:val="22"/>
        </w:rPr>
      </w:r>
    </w:p>
    <w:p>
      <w:pPr>
        <w:pStyle w:val="Normal"/>
        <w:ind w:hanging="360" w:start="360" w:end="0"/>
        <w:rPr>
          <w:sz w:val="22"/>
        </w:rPr>
      </w:pPr>
      <w:r>
        <w:rPr>
          <w:sz w:val="22"/>
        </w:rPr>
        <w:t>2.</w:t>
        <w:tab/>
        <w:t>The NERC Compliance Agreement Participants Group (CAPG) is comprised of one representative from each Region that is a signatory to the NERC Agreement.</w:t>
      </w:r>
    </w:p>
    <w:p>
      <w:pPr>
        <w:pStyle w:val="BodyTextIndent3"/>
        <w:rPr/>
      </w:pPr>
      <w:r>
        <w:rPr/>
        <w:t>The MAIN Compliance Agreement Participants Group (MCAPG) is comprised of one representative from each Party that is a signatory to the MAIN Agreement.  This potentially could be a very large group.</w:t>
      </w:r>
    </w:p>
    <w:p>
      <w:pPr>
        <w:pStyle w:val="Normal"/>
        <w:rPr>
          <w:sz w:val="22"/>
        </w:rPr>
      </w:pPr>
      <w:r>
        <w:rPr>
          <w:sz w:val="22"/>
        </w:rPr>
      </w:r>
    </w:p>
    <w:p>
      <w:pPr>
        <w:pStyle w:val="Normal"/>
        <w:ind w:hanging="360" w:start="360" w:end="0"/>
        <w:rPr>
          <w:sz w:val="22"/>
        </w:rPr>
      </w:pPr>
      <w:r>
        <w:rPr>
          <w:sz w:val="22"/>
        </w:rPr>
        <w:t>3.</w:t>
        <w:tab/>
        <w:t>Procedures for the CAPG and MCAPG are similar, with one exception.  The NERC Agreement requires an affirmative vote of two-thirds of the members of the CAPG present or by proxy, and voting shall be required for approval of any recommendation or proposal submitted to, or action to be taken by, the CAPG.</w:t>
      </w:r>
    </w:p>
    <w:p>
      <w:pPr>
        <w:pStyle w:val="BodyTextIndent3"/>
        <w:rPr/>
      </w:pPr>
      <w:r>
        <w:rPr/>
        <w:t>The MAIN Agreement requires a unanimous vote of the Parties to modify the MAIN Agreement and an affirmative vote of three-fourths of the Parties to modify Exhibit 2.</w:t>
      </w:r>
    </w:p>
    <w:p>
      <w:pPr>
        <w:pStyle w:val="Normal"/>
        <w:ind w:hanging="360" w:start="360" w:end="0"/>
        <w:rPr>
          <w:sz w:val="22"/>
        </w:rPr>
      </w:pPr>
      <w:r>
        <w:rPr>
          <w:sz w:val="22"/>
        </w:rPr>
      </w:r>
    </w:p>
    <w:p>
      <w:pPr>
        <w:pStyle w:val="Normal"/>
        <w:ind w:hanging="360" w:start="360" w:end="0"/>
        <w:rPr>
          <w:sz w:val="22"/>
        </w:rPr>
      </w:pPr>
      <w:r>
        <w:rPr>
          <w:sz w:val="22"/>
        </w:rPr>
        <w:t>4.</w:t>
        <w:tab/>
        <w:t>Section 5.00 Enforcement Procedures for Regional Compliance and Enforcement Programs, in the NERC Agreement, requires that the Regions’ enforcement procedures shall include provisions concerning late submittal of, or failure to submit, data in accordance with Designated Reliability Standards.  Such provisions shall include the imposition of sanctions on a Participating Compliance Entity for late submittal or failure to submit data in accordance with one or more Designated Reliability Standards.  However, the NERC Agreement, Annex B, does not provide a specific sanction table concerning this data submittal lateness issue.</w:t>
      </w:r>
    </w:p>
    <w:p>
      <w:pPr>
        <w:pStyle w:val="Normal"/>
        <w:ind w:hanging="360" w:start="360" w:end="0"/>
        <w:rPr>
          <w:sz w:val="22"/>
        </w:rPr>
      </w:pPr>
      <w:r>
        <w:rPr>
          <w:sz w:val="22"/>
        </w:rPr>
      </w:r>
    </w:p>
    <w:p>
      <w:pPr>
        <w:pStyle w:val="Normal"/>
        <w:ind w:start="360" w:end="0"/>
        <w:rPr>
          <w:sz w:val="22"/>
        </w:rPr>
      </w:pPr>
      <w:r>
        <w:rPr>
          <w:sz w:val="22"/>
        </w:rPr>
        <w:t>MAIN developed a sanction table, shown in Exhibit 2 that is similar to tables developed by other regions, with letters to be issued for non-compliance with data submittal requirements.  There are no financial penalties associated with the various levels of non-compliance with data submittal requirements under the proposed MAIN program.</w:t>
      </w:r>
    </w:p>
    <w:p>
      <w:pPr>
        <w:pStyle w:val="Normal"/>
        <w:rPr>
          <w:sz w:val="22"/>
        </w:rPr>
      </w:pPr>
      <w:r>
        <w:rPr>
          <w:sz w:val="22"/>
        </w:rPr>
      </w:r>
    </w:p>
    <w:p>
      <w:pPr>
        <w:pStyle w:val="Normal"/>
        <w:ind w:hanging="360" w:start="360" w:end="0"/>
        <w:rPr>
          <w:sz w:val="22"/>
        </w:rPr>
      </w:pPr>
      <w:r>
        <w:rPr>
          <w:sz w:val="22"/>
        </w:rPr>
      </w:r>
    </w:p>
    <w:p>
      <w:pPr>
        <w:pStyle w:val="Normal"/>
        <w:ind w:hanging="360" w:start="360" w:end="0"/>
        <w:rPr>
          <w:sz w:val="22"/>
        </w:rPr>
      </w:pPr>
      <w:r>
        <w:rPr>
          <w:sz w:val="22"/>
        </w:rPr>
        <w:t>5.</w:t>
        <w:tab/>
        <w:t>The NERC Agreement includes a Section 5.02, Additional Enforcement Procedures.  It allows regions to include additional regional compliance and enforcement programs and enforcement procedures that supplement, and do not conflict with or diminish, the minimum requirements specified in Section 5.01 and Annex A of the NERC Agreement.</w:t>
      </w:r>
    </w:p>
    <w:p>
      <w:pPr>
        <w:pStyle w:val="Normal"/>
        <w:ind w:hanging="360" w:start="360" w:end="0"/>
        <w:rPr>
          <w:sz w:val="22"/>
        </w:rPr>
      </w:pPr>
      <w:r>
        <w:rPr>
          <w:sz w:val="22"/>
        </w:rPr>
      </w:r>
    </w:p>
    <w:p>
      <w:pPr>
        <w:pStyle w:val="Normal"/>
        <w:ind w:start="360" w:end="0"/>
        <w:rPr>
          <w:sz w:val="22"/>
        </w:rPr>
      </w:pPr>
      <w:r>
        <w:rPr>
          <w:sz w:val="22"/>
        </w:rPr>
        <w:t>The MAIN NERC Plan B Task Force elected at this time NOT to include such a provision in the MAIN Agreement.  Thus, the proposed MAIN Agreement does not provide for adding any additional reliability standards or enforcement procedures other than those stated in the Designated Reliability Standards included in the NERC Agreement, Annex B.</w:t>
      </w:r>
    </w:p>
    <w:p>
      <w:pPr>
        <w:pStyle w:val="Normal"/>
        <w:rPr>
          <w:sz w:val="22"/>
        </w:rPr>
      </w:pPr>
      <w:r>
        <w:rPr>
          <w:sz w:val="22"/>
        </w:rPr>
      </w:r>
    </w:p>
    <w:p>
      <w:pPr>
        <w:pStyle w:val="Normal"/>
        <w:ind w:hanging="360" w:start="360" w:end="0"/>
        <w:rPr>
          <w:sz w:val="22"/>
        </w:rPr>
      </w:pPr>
      <w:r>
        <w:rPr>
          <w:sz w:val="22"/>
        </w:rPr>
        <w:t>6.</w:t>
        <w:tab/>
        <w:t>Designated Reliability Standards may be added, deleted, or modified in Annex B of the NERC Agreement by the NERC CAPG’s action by two-thirds approval vote, followed by a 30-day public review for comment, and NERC Board of Trustees approval.  The Designated Reliability Standard will not be added to Annex B until 30 days after NERC Board approval.</w:t>
      </w:r>
    </w:p>
    <w:p>
      <w:pPr>
        <w:pStyle w:val="Normal"/>
        <w:ind w:hanging="360" w:start="360" w:end="0"/>
        <w:rPr>
          <w:sz w:val="22"/>
        </w:rPr>
      </w:pPr>
      <w:r>
        <w:rPr>
          <w:sz w:val="22"/>
        </w:rPr>
      </w:r>
    </w:p>
    <w:p>
      <w:pPr>
        <w:pStyle w:val="Normal"/>
        <w:ind w:start="360" w:end="0"/>
        <w:rPr>
          <w:sz w:val="22"/>
        </w:rPr>
      </w:pPr>
      <w:r>
        <w:rPr>
          <w:sz w:val="22"/>
        </w:rPr>
        <w:t>The MAIN CAPG will participate in the aforementioned process of adding, deleting, or modifying Designated Reliability Standards through its representative to the NERC CAPG.  Exhibit 2 provides that the MAIN CAPG representative will vote in accordance with the consensus view of the MAIN CAPG at NERC CAPG meetings.</w:t>
      </w:r>
    </w:p>
    <w:p>
      <w:pPr>
        <w:pStyle w:val="Normal"/>
        <w:rPr>
          <w:sz w:val="22"/>
        </w:rPr>
      </w:pPr>
      <w:r>
        <w:rPr>
          <w:sz w:val="22"/>
        </w:rPr>
      </w:r>
    </w:p>
    <w:p>
      <w:pPr>
        <w:pStyle w:val="Normal"/>
        <w:ind w:hanging="360" w:start="360" w:end="0"/>
        <w:rPr>
          <w:sz w:val="22"/>
        </w:rPr>
      </w:pPr>
      <w:r>
        <w:rPr>
          <w:sz w:val="22"/>
        </w:rPr>
        <w:t>7.</w:t>
        <w:tab/>
        <w:t xml:space="preserve">Any provisions of the NERC Agreement, except Section 8.02 Additions to and Deletions from Annex B, may be amended by a vote of two-thirds of the Parties.  (NERC CAPG representatives)  </w:t>
      </w:r>
    </w:p>
    <w:p>
      <w:pPr>
        <w:pStyle w:val="Normal"/>
        <w:ind w:start="360" w:end="0"/>
        <w:rPr>
          <w:sz w:val="22"/>
        </w:rPr>
      </w:pPr>
      <w:r>
        <w:rPr>
          <w:sz w:val="22"/>
        </w:rPr>
        <w:t>Any provisions of the MAIN Agreement, except 6.02 Additions and Deletions to Exhibit 2 and Exhibit 2, may only be amended by a unanimous vote of the Parties, excluding MAIN as a Party.</w:t>
      </w:r>
    </w:p>
    <w:p>
      <w:pPr>
        <w:pStyle w:val="Normal"/>
        <w:ind w:start="360" w:end="0"/>
        <w:rPr>
          <w:sz w:val="22"/>
        </w:rPr>
      </w:pPr>
      <w:r>
        <w:rPr>
          <w:sz w:val="22"/>
        </w:rPr>
        <w:t>Changes or modifications to Exhibit 2 must be approved by three-fourths of the Parties and ratified by the MAIN Board of Directors.</w:t>
      </w:r>
    </w:p>
    <w:p>
      <w:pPr>
        <w:pStyle w:val="Normal"/>
        <w:rPr>
          <w:sz w:val="22"/>
        </w:rPr>
      </w:pPr>
      <w:r>
        <w:rPr>
          <w:sz w:val="22"/>
        </w:rPr>
      </w:r>
    </w:p>
    <w:p>
      <w:pPr>
        <w:pStyle w:val="Normal"/>
        <w:ind w:hanging="360" w:start="360" w:end="0"/>
        <w:rPr>
          <w:sz w:val="22"/>
        </w:rPr>
      </w:pPr>
      <w:r>
        <w:rPr>
          <w:sz w:val="22"/>
        </w:rPr>
        <w:t>8.</w:t>
        <w:tab/>
        <w:t>Section 9.02, Withdrawal by a Party.  The NERC Agreement allows upon the addition of a Designated Reliability Standard to Annex B pursuant to Section 8.02, or the modification of a Designated Reliability Standard in Annex B pursuant to Section 8.03, any Party may withdraw from this Agreement on 30 days written notice to the other Parties.</w:t>
      </w:r>
    </w:p>
    <w:p>
      <w:pPr>
        <w:pStyle w:val="Normal"/>
        <w:ind w:hanging="360" w:start="360" w:end="0"/>
        <w:rPr>
          <w:sz w:val="22"/>
        </w:rPr>
      </w:pPr>
      <w:r>
        <w:rPr>
          <w:sz w:val="22"/>
        </w:rPr>
        <w:t xml:space="preserve">  </w:t>
      </w:r>
    </w:p>
    <w:p>
      <w:pPr>
        <w:pStyle w:val="Normal"/>
        <w:ind w:start="360" w:end="0"/>
        <w:rPr>
          <w:sz w:val="22"/>
        </w:rPr>
      </w:pPr>
      <w:r>
        <w:rPr>
          <w:sz w:val="22"/>
        </w:rPr>
        <w:t>The MAIN Agreement, Section 7.02 (b), provides for withdrawal with the same 30 days written notice to the other Parties; however, it can only be done within 6 months of the addition, modification or change of a Designated Reliability Standard in Annex B.  Additionally, the same section of the MAIN Agreement allows a Party to withdraw with the same 30 days written notice to the other Parties, within 6 months of changes or modifications to the provisions of the MAIN Program.</w:t>
      </w:r>
    </w:p>
    <w:p>
      <w:pPr>
        <w:pStyle w:val="Normal"/>
        <w:rPr>
          <w:sz w:val="22"/>
        </w:rPr>
      </w:pPr>
      <w:r>
        <w:rPr>
          <w:sz w:val="22"/>
        </w:rPr>
      </w:r>
    </w:p>
    <w:p>
      <w:pPr>
        <w:pStyle w:val="Normal"/>
        <w:rPr>
          <w:sz w:val="22"/>
        </w:rPr>
      </w:pPr>
      <w:r>
        <w:rPr>
          <w:sz w:val="22"/>
        </w:rPr>
      </w:r>
    </w:p>
    <w:p>
      <w:pPr>
        <w:pStyle w:val="Heading1"/>
        <w:ind w:hanging="0" w:start="0"/>
        <w:rPr/>
      </w:pPr>
      <w:r>
        <w:rPr/>
        <w:t>Exhibit 1- The NERC Agreement</w:t>
      </w:r>
    </w:p>
    <w:p>
      <w:pPr>
        <w:pStyle w:val="Normal"/>
        <w:rPr>
          <w:sz w:val="22"/>
        </w:rPr>
      </w:pPr>
      <w:r>
        <w:rPr>
          <w:sz w:val="22"/>
        </w:rPr>
      </w:r>
    </w:p>
    <w:p>
      <w:pPr>
        <w:pStyle w:val="Normal"/>
        <w:rPr>
          <w:sz w:val="22"/>
        </w:rPr>
      </w:pPr>
      <w:r>
        <w:rPr>
          <w:sz w:val="22"/>
        </w:rPr>
        <w:t>This is the Agreement between NERC and the Regions, which the Task Force expects that MAIN will sign, once the MAIN Agreement is approved by the MAIN members.  Key variances between the MAIN Agreement and this Agreement are outlined above.</w:t>
      </w:r>
    </w:p>
    <w:p>
      <w:pPr>
        <w:pStyle w:val="Normal"/>
        <w:rPr>
          <w:sz w:val="22"/>
        </w:rPr>
      </w:pPr>
      <w:r>
        <w:rPr>
          <w:sz w:val="22"/>
        </w:rPr>
      </w:r>
      <w:r>
        <w:br w:type="page"/>
      </w:r>
    </w:p>
    <w:p>
      <w:pPr>
        <w:pStyle w:val="Normal"/>
        <w:rPr>
          <w:b/>
          <w:bCs/>
          <w:sz w:val="22"/>
        </w:rPr>
      </w:pPr>
      <w:r>
        <w:rPr>
          <w:b/>
          <w:bCs/>
          <w:sz w:val="22"/>
        </w:rPr>
        <w:t>Exhibit 1-Annex A</w:t>
      </w:r>
    </w:p>
    <w:p>
      <w:pPr>
        <w:pStyle w:val="Normal"/>
        <w:rPr>
          <w:b/>
          <w:bCs/>
          <w:sz w:val="22"/>
        </w:rPr>
      </w:pPr>
      <w:r>
        <w:rPr>
          <w:b/>
          <w:bCs/>
          <w:sz w:val="22"/>
        </w:rPr>
      </w:r>
    </w:p>
    <w:p>
      <w:pPr>
        <w:pStyle w:val="Normal"/>
        <w:rPr>
          <w:sz w:val="22"/>
        </w:rPr>
      </w:pPr>
      <w:r>
        <w:rPr>
          <w:sz w:val="22"/>
        </w:rPr>
        <w:t>This document contains the Essential Attributes of Regional Compliance and Enforcement Programs.  The MAIN Agreement and Exhibit 2 are intended to meet each of the elements required by the NERC Agreement.  A listing of the location in the MAIN Agreement of MAIN’s elements required by the NERC Agreement will be presented to NERC along with the MAIN Agreement and Exhibit 2 to demonstrate consistency with the NERC Agreement.</w:t>
      </w:r>
    </w:p>
    <w:p>
      <w:pPr>
        <w:pStyle w:val="Normal"/>
        <w:rPr>
          <w:sz w:val="22"/>
        </w:rPr>
      </w:pPr>
      <w:r>
        <w:rPr>
          <w:sz w:val="22"/>
        </w:rPr>
      </w:r>
    </w:p>
    <w:p>
      <w:pPr>
        <w:pStyle w:val="Normal"/>
        <w:rPr>
          <w:sz w:val="22"/>
        </w:rPr>
      </w:pPr>
      <w:r>
        <w:rPr>
          <w:sz w:val="22"/>
        </w:rPr>
      </w:r>
    </w:p>
    <w:p>
      <w:pPr>
        <w:pStyle w:val="Heading1"/>
        <w:ind w:hanging="0" w:start="0"/>
        <w:rPr/>
      </w:pPr>
      <w:r>
        <w:rPr/>
        <w:t>Exhibit 1-Annex B</w:t>
      </w:r>
    </w:p>
    <w:p>
      <w:pPr>
        <w:pStyle w:val="Normal"/>
        <w:rPr>
          <w:sz w:val="22"/>
        </w:rPr>
      </w:pPr>
      <w:r>
        <w:rPr>
          <w:sz w:val="22"/>
        </w:rPr>
      </w:r>
    </w:p>
    <w:p>
      <w:pPr>
        <w:pStyle w:val="Normal"/>
        <w:rPr>
          <w:sz w:val="22"/>
        </w:rPr>
      </w:pPr>
      <w:r>
        <w:rPr>
          <w:sz w:val="22"/>
        </w:rPr>
        <w:t>This document contains the NERC Standards and Measures Reporting Requirements and Process and associated Operating Compliance Templates to be measured in the NERC/Regional Programs.  The Operating Templates covering CPS 1 and 2 and DCS are included in the NERC/Regional Programs.  The templates, which are undergoing change, will be replaced with updated versions when available.</w:t>
      </w:r>
    </w:p>
    <w:p>
      <w:pPr>
        <w:pStyle w:val="Normal"/>
        <w:rPr>
          <w:sz w:val="22"/>
        </w:rPr>
      </w:pPr>
      <w:r>
        <w:rPr>
          <w:sz w:val="22"/>
        </w:rPr>
      </w:r>
    </w:p>
    <w:p>
      <w:pPr>
        <w:pStyle w:val="Normal"/>
        <w:rPr>
          <w:sz w:val="22"/>
        </w:rPr>
      </w:pPr>
      <w:r>
        <w:rPr>
          <w:sz w:val="22"/>
        </w:rPr>
      </w:r>
    </w:p>
    <w:p>
      <w:pPr>
        <w:pStyle w:val="Heading1"/>
        <w:ind w:hanging="0" w:start="0"/>
        <w:rPr/>
      </w:pPr>
      <w:r>
        <w:rPr/>
        <w:t>Exhibit 2. MAIN Regional Compliance and Enforcement Program</w:t>
      </w:r>
    </w:p>
    <w:p>
      <w:pPr>
        <w:pStyle w:val="Normal"/>
        <w:rPr>
          <w:sz w:val="22"/>
        </w:rPr>
      </w:pPr>
      <w:r>
        <w:rPr>
          <w:sz w:val="22"/>
        </w:rPr>
      </w:r>
    </w:p>
    <w:p>
      <w:pPr>
        <w:pStyle w:val="Normal"/>
        <w:rPr>
          <w:sz w:val="22"/>
        </w:rPr>
      </w:pPr>
      <w:r>
        <w:rPr>
          <w:sz w:val="22"/>
        </w:rPr>
        <w:t>This document contains the key elements covering how the MAIN Regional Compliance and Enforcement Program will work.  It outlines the duties, responsibilities and procedures of the MAIN Compliance Agreement Participants Group (MCAPG).  It references the determination of compliance and non-compliance to the reliability standards as well as the procedures for enacting sanctions and the appeals process.  It addresses the confidentiality of data and outlines the regional compliance program relating to the MAIN non-monetary sanctions regarding the timeliness of data submittals.  The format of Exhibit 2 is designed to readily reference major Compliance Program topics.</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62.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2"/>
    </w:rPr>
  </w:style>
  <w:style w:type="character" w:styleId="WW8Num1z0">
    <w:name w:val="WW8Num1z0"/>
    <w:qFormat/>
    <w:rPr/>
  </w:style>
  <w:style w:type="character" w:styleId="WW8Num2z0">
    <w:name w:val="WW8Num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rPr>
  </w:style>
  <w:style w:type="paragraph" w:styleId="BodyTextIndent">
    <w:name w:val="Body Text Indent"/>
    <w:basedOn w:val="Normal"/>
    <w:pPr>
      <w:ind w:hanging="360" w:start="360" w:end="0"/>
    </w:pPr>
    <w:rPr>
      <w:sz w:val="24"/>
    </w:rPr>
  </w:style>
  <w:style w:type="paragraph" w:styleId="BodyTextIndent2">
    <w:name w:val="Body Text Indent 2"/>
    <w:basedOn w:val="Normal"/>
    <w:qFormat/>
    <w:pPr>
      <w:ind w:hanging="360" w:start="360" w:end="0"/>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360" w:end="0"/>
    </w:pPr>
    <w:rPr>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2001-10-18T17:00:00Z</dcterms:created>
  <dc:creator>Norbert D. Mizwicki</dc:creator>
  <dc:description/>
  <dc:language>en-CA</dc:language>
  <cp:lastModifiedBy>jmd</cp:lastModifiedBy>
  <cp:lastPrinted>2001-10-15T15:45:00Z</cp:lastPrinted>
  <dcterms:modified xsi:type="dcterms:W3CDTF">2001-10-18T17:00:00Z</dcterms:modified>
  <cp:revision>2</cp:revision>
  <dc:subject/>
  <dc:title>MAIN Regional Compliance and Enforcement Program (MAIN Program)</dc:title>
</cp:coreProperties>
</file>