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September 24, 2001</w:t>
      </w:r>
    </w:p>
    <w:p>
      <w:pPr>
        <w:pStyle w:val="Normal"/>
        <w:rPr/>
      </w:pPr>
      <w:r>
        <w:rPr/>
      </w:r>
    </w:p>
    <w:p>
      <w:pPr>
        <w:pStyle w:val="Normal"/>
        <w:rPr/>
      </w:pPr>
      <w:r>
        <w:rPr/>
      </w:r>
    </w:p>
    <w:p>
      <w:pPr>
        <w:pStyle w:val="Normal"/>
        <w:jc w:val="center"/>
        <w:rPr>
          <w:b/>
          <w:bCs/>
          <w:sz w:val="24"/>
        </w:rPr>
      </w:pPr>
      <w:r>
        <w:rPr>
          <w:b/>
          <w:bCs/>
          <w:sz w:val="24"/>
        </w:rPr>
      </w:r>
    </w:p>
    <w:p>
      <w:pPr>
        <w:pStyle w:val="Heading1"/>
        <w:ind w:hanging="0" w:start="0"/>
        <w:rPr/>
      </w:pPr>
      <w:r>
        <w:rPr/>
        <w:t>Mr. Richard Bulley</w:t>
      </w:r>
    </w:p>
    <w:p>
      <w:pPr>
        <w:pStyle w:val="Normal"/>
        <w:rPr>
          <w:sz w:val="24"/>
        </w:rPr>
      </w:pPr>
      <w:r>
        <w:rPr>
          <w:sz w:val="24"/>
        </w:rPr>
        <w:t>Chairman</w:t>
      </w:r>
    </w:p>
    <w:p>
      <w:pPr>
        <w:pStyle w:val="Normal"/>
        <w:rPr>
          <w:sz w:val="24"/>
        </w:rPr>
      </w:pPr>
      <w:r>
        <w:rPr>
          <w:sz w:val="24"/>
        </w:rPr>
        <w:t>Mid America Interconnected Network</w:t>
      </w:r>
    </w:p>
    <w:p>
      <w:pPr>
        <w:pStyle w:val="Normal"/>
        <w:rPr>
          <w:sz w:val="24"/>
          <w:lang w:val="fr-FR"/>
        </w:rPr>
      </w:pPr>
      <w:r>
        <w:rPr>
          <w:sz w:val="24"/>
          <w:lang w:val="fr-FR"/>
        </w:rPr>
        <w:t>939 Parkview Boulevard</w:t>
      </w:r>
    </w:p>
    <w:p>
      <w:pPr>
        <w:pStyle w:val="Normal"/>
        <w:rPr>
          <w:sz w:val="24"/>
          <w:lang w:val="fr-FR"/>
        </w:rPr>
      </w:pPr>
      <w:r>
        <w:rPr>
          <w:sz w:val="24"/>
          <w:lang w:val="fr-FR"/>
        </w:rPr>
        <w:t>Lombard, IL 60148-3267</w:t>
      </w:r>
    </w:p>
    <w:p>
      <w:pPr>
        <w:pStyle w:val="Normal"/>
        <w:rPr>
          <w:sz w:val="24"/>
          <w:lang w:val="fr-FR"/>
        </w:rPr>
      </w:pPr>
      <w:r>
        <w:rPr>
          <w:sz w:val="24"/>
          <w:lang w:val="fr-FR"/>
        </w:rPr>
      </w:r>
    </w:p>
    <w:p>
      <w:pPr>
        <w:pStyle w:val="Normal"/>
        <w:rPr>
          <w:sz w:val="24"/>
        </w:rPr>
      </w:pPr>
      <w:r>
        <w:rPr>
          <w:sz w:val="24"/>
        </w:rPr>
        <w:t>Re: MAIN Compliance Program</w:t>
      </w:r>
    </w:p>
    <w:p>
      <w:pPr>
        <w:pStyle w:val="Normal"/>
        <w:rPr>
          <w:sz w:val="24"/>
        </w:rPr>
      </w:pPr>
      <w:r>
        <w:rPr>
          <w:sz w:val="24"/>
        </w:rPr>
        <w:t xml:space="preserve"> </w:t>
      </w:r>
    </w:p>
    <w:p>
      <w:pPr>
        <w:pStyle w:val="Normal"/>
        <w:rPr>
          <w:sz w:val="24"/>
        </w:rPr>
      </w:pPr>
      <w:r>
        <w:rPr>
          <w:sz w:val="24"/>
        </w:rPr>
        <w:t>Dear Mr. Bulley:</w:t>
      </w:r>
    </w:p>
    <w:p>
      <w:pPr>
        <w:pStyle w:val="Normal"/>
        <w:rPr>
          <w:sz w:val="24"/>
        </w:rPr>
      </w:pPr>
      <w:r>
        <w:rPr>
          <w:sz w:val="24"/>
        </w:rPr>
      </w:r>
    </w:p>
    <w:p>
      <w:pPr>
        <w:pStyle w:val="Normal"/>
        <w:rPr>
          <w:sz w:val="24"/>
        </w:rPr>
      </w:pPr>
      <w:r>
        <w:rPr>
          <w:sz w:val="24"/>
        </w:rPr>
        <w:t>The undersigned representatives of generators affected by the above-referenced MAIN Compliance Program wish to respond with the following comments.</w:t>
      </w:r>
    </w:p>
    <w:p>
      <w:pPr>
        <w:pStyle w:val="Normal"/>
        <w:rPr>
          <w:sz w:val="24"/>
        </w:rPr>
      </w:pPr>
      <w:r>
        <w:rPr>
          <w:sz w:val="24"/>
        </w:rPr>
      </w:r>
    </w:p>
    <w:p>
      <w:pPr>
        <w:pStyle w:val="Normal"/>
        <w:rPr>
          <w:sz w:val="24"/>
        </w:rPr>
      </w:pPr>
      <w:r>
        <w:rPr>
          <w:sz w:val="24"/>
        </w:rPr>
        <w:t>We intend to comply with the deadline of  September 24, 2001 (or shortly thereafter) for submission of the Self-Certification of the MAIN 2001 Planning Compliance Program.  However, we hereby request that MAIN take no further action at this time to impose new compliance requirements on generators.  We are making the same request of NERC more generally and of other NERC regions.</w:t>
      </w:r>
    </w:p>
    <w:p>
      <w:pPr>
        <w:pStyle w:val="Normal"/>
        <w:rPr>
          <w:sz w:val="24"/>
        </w:rPr>
      </w:pPr>
      <w:r>
        <w:rPr>
          <w:sz w:val="24"/>
        </w:rPr>
      </w:r>
    </w:p>
    <w:p>
      <w:pPr>
        <w:pStyle w:val="Normal"/>
        <w:rPr>
          <w:sz w:val="24"/>
        </w:rPr>
      </w:pPr>
      <w:r>
        <w:rPr>
          <w:sz w:val="24"/>
        </w:rPr>
        <w:t xml:space="preserve">As you know, the matter of responsibility for assuring system reliability is currently a subject of intense discussion among industry, regulators, and congress.  With the acceleration by the FERC of movement toward RTOs under the program commenced by Order No. 2000, the responsibility for assuring system security will move increasingly toward the RTOs, as Order 2000 prescribes.  Thus, until the RTOs are designed  and  operational, we believe no further compliance action is warranted.  </w:t>
      </w:r>
    </w:p>
    <w:p>
      <w:pPr>
        <w:pStyle w:val="Normal"/>
        <w:rPr>
          <w:sz w:val="24"/>
        </w:rPr>
      </w:pPr>
      <w:r>
        <w:rPr>
          <w:sz w:val="24"/>
        </w:rPr>
      </w:r>
    </w:p>
    <w:p>
      <w:pPr>
        <w:pStyle w:val="Normal"/>
        <w:rPr>
          <w:sz w:val="24"/>
        </w:rPr>
      </w:pPr>
      <w:r>
        <w:rPr>
          <w:sz w:val="24"/>
        </w:rPr>
        <w:t>In these circumstances, we submit that it is inadvisable for MAIN (and other NERC regions) to proceed further in the adoption of new compliance requirements, given the current voluntary nature of the NERC structure and the limitation on its ability to pay for the kinds of services that may be required in order to comply with such requirements.   The adoption of such requirements may soon be the responsibility of entirely different regional entities having better defined authority to impose them and to pay for the services required to implement them.</w:t>
      </w:r>
    </w:p>
    <w:p>
      <w:pPr>
        <w:pStyle w:val="Normal"/>
        <w:rPr>
          <w:sz w:val="24"/>
        </w:rPr>
      </w:pPr>
      <w:r>
        <w:rPr>
          <w:sz w:val="24"/>
        </w:rPr>
      </w:r>
    </w:p>
    <w:p>
      <w:pPr>
        <w:pStyle w:val="Normal"/>
        <w:rPr>
          <w:sz w:val="24"/>
        </w:rPr>
      </w:pPr>
      <w:r>
        <w:rPr>
          <w:sz w:val="24"/>
        </w:rPr>
        <w:t>While we recognize the need for MAIN to continue to do its job in the meantime -- which is important to us as generators and primary users of the transmission system -- we seek to preserve the longer-term decisions for those entities to which FERC will delegate authority to operate the grids and make decisions.</w:t>
      </w:r>
    </w:p>
    <w:p>
      <w:pPr>
        <w:pStyle w:val="Normal"/>
        <w:rPr>
          <w:sz w:val="24"/>
        </w:rPr>
      </w:pPr>
      <w:r>
        <w:rPr>
          <w:sz w:val="24"/>
        </w:rPr>
      </w:r>
    </w:p>
    <w:p>
      <w:pPr>
        <w:pStyle w:val="Normal"/>
        <w:rPr>
          <w:sz w:val="24"/>
        </w:rPr>
      </w:pPr>
      <w:r>
        <w:rPr>
          <w:sz w:val="24"/>
        </w:rPr>
        <w:t>Sincerely,</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Heading1"/>
        <w:ind w:hanging="0" w:start="0"/>
        <w:rPr/>
      </w:pPr>
      <w:r>
        <w:rPr/>
        <w:t>John P. Mathis</w:t>
      </w:r>
    </w:p>
    <w:p>
      <w:pPr>
        <w:pStyle w:val="Normal"/>
        <w:rPr>
          <w:sz w:val="24"/>
        </w:rPr>
      </w:pPr>
      <w:r>
        <w:rPr>
          <w:sz w:val="24"/>
        </w:rPr>
        <w:t>Vice President &amp; Associate General Counsel</w:t>
      </w:r>
    </w:p>
    <w:p>
      <w:pPr>
        <w:pStyle w:val="Normal"/>
        <w:rPr>
          <w:sz w:val="24"/>
        </w:rPr>
      </w:pPr>
      <w:r>
        <w:rPr>
          <w:sz w:val="24"/>
        </w:rPr>
        <w:t>Edison Mission Energy (on behalf of its subsidiary Midwest Generation)</w:t>
      </w:r>
    </w:p>
    <w:p>
      <w:pPr>
        <w:pStyle w:val="Normal"/>
        <w:rPr/>
      </w:pPr>
      <w:r>
        <w:rPr>
          <w:sz w:val="24"/>
        </w:rPr>
        <w:t>555 12</w:t>
      </w:r>
      <w:r>
        <w:rPr>
          <w:sz w:val="24"/>
          <w:vertAlign w:val="superscript"/>
        </w:rPr>
        <w:t>th</w:t>
      </w:r>
      <w:r>
        <w:rPr>
          <w:sz w:val="24"/>
        </w:rPr>
        <w:t xml:space="preserve"> Street, NW, Suite 640</w:t>
      </w:r>
    </w:p>
    <w:p>
      <w:pPr>
        <w:pStyle w:val="Normal"/>
        <w:rPr>
          <w:sz w:val="24"/>
        </w:rPr>
      </w:pPr>
      <w:r>
        <w:rPr>
          <w:sz w:val="24"/>
        </w:rPr>
        <w:t>Washington, DC 20004</w:t>
      </w:r>
    </w:p>
    <w:p>
      <w:pPr>
        <w:pStyle w:val="Normal"/>
        <w:rPr>
          <w:sz w:val="24"/>
        </w:rPr>
      </w:pPr>
      <w:r>
        <w:rPr>
          <w:sz w:val="24"/>
        </w:rPr>
        <w:t>(202) 585-1199</w:t>
      </w:r>
    </w:p>
    <w:p>
      <w:pPr>
        <w:pStyle w:val="Normal"/>
        <w:rPr>
          <w:sz w:val="24"/>
        </w:rPr>
      </w:pPr>
      <w:r>
        <w:rPr>
          <w:sz w:val="24"/>
        </w:rPr>
      </w:r>
    </w:p>
    <w:p>
      <w:pPr>
        <w:pStyle w:val="Heading2"/>
        <w:ind w:hanging="0" w:start="0"/>
        <w:rPr/>
      </w:pPr>
      <w:r>
        <w:rPr/>
        <w:t>James Stanton</w:t>
      </w:r>
    </w:p>
    <w:p>
      <w:pPr>
        <w:pStyle w:val="Normal"/>
        <w:autoSpaceDE w:val="false"/>
        <w:rPr>
          <w:color w:val="000000"/>
          <w:sz w:val="24"/>
        </w:rPr>
      </w:pPr>
      <w:r>
        <w:rPr>
          <w:color w:val="000000"/>
          <w:sz w:val="24"/>
        </w:rPr>
        <w:t>Manager of Market Policy</w:t>
      </w:r>
    </w:p>
    <w:p>
      <w:pPr>
        <w:pStyle w:val="Normal"/>
        <w:autoSpaceDE w:val="false"/>
        <w:rPr>
          <w:color w:val="000000"/>
          <w:sz w:val="24"/>
        </w:rPr>
      </w:pPr>
      <w:r>
        <w:rPr>
          <w:color w:val="000000"/>
          <w:sz w:val="24"/>
        </w:rPr>
        <w:t>Calpine Corporation</w:t>
      </w:r>
    </w:p>
    <w:p>
      <w:pPr>
        <w:pStyle w:val="Normal"/>
        <w:autoSpaceDE w:val="false"/>
        <w:rPr>
          <w:color w:val="000000"/>
          <w:sz w:val="24"/>
        </w:rPr>
      </w:pPr>
      <w:r>
        <w:rPr>
          <w:color w:val="000000"/>
          <w:sz w:val="24"/>
        </w:rPr>
        <w:t>700 Louisiana, Suite 2700</w:t>
      </w:r>
    </w:p>
    <w:p>
      <w:pPr>
        <w:pStyle w:val="Normal"/>
        <w:autoSpaceDE w:val="false"/>
        <w:rPr>
          <w:color w:val="000000"/>
          <w:sz w:val="24"/>
        </w:rPr>
      </w:pPr>
      <w:r>
        <w:rPr>
          <w:color w:val="000000"/>
          <w:sz w:val="24"/>
        </w:rPr>
        <w:t>Houston, TX 77002</w:t>
      </w:r>
    </w:p>
    <w:p>
      <w:pPr>
        <w:pStyle w:val="Normal"/>
        <w:autoSpaceDE w:val="false"/>
        <w:rPr>
          <w:color w:val="000000"/>
          <w:sz w:val="24"/>
        </w:rPr>
      </w:pPr>
      <w:r>
        <w:rPr>
          <w:color w:val="000000"/>
          <w:sz w:val="24"/>
        </w:rPr>
        <w:t>713-830-8694</w:t>
      </w:r>
    </w:p>
    <w:p>
      <w:pPr>
        <w:pStyle w:val="Normal"/>
        <w:autoSpaceDE w:val="false"/>
        <w:rPr>
          <w:color w:val="000000"/>
          <w:sz w:val="24"/>
        </w:rPr>
      </w:pPr>
      <w:r>
        <w:rPr>
          <w:color w:val="000000"/>
          <w:sz w:val="24"/>
        </w:rPr>
        <w:t>jstanton@calpine.com</w:t>
      </w:r>
    </w:p>
    <w:p>
      <w:pPr>
        <w:pStyle w:val="Normal"/>
        <w:autoSpaceDE w:val="false"/>
        <w:rPr>
          <w:color w:val="000000"/>
          <w:sz w:val="24"/>
        </w:rPr>
      </w:pPr>
      <w:r>
        <w:rPr>
          <w:color w:val="000000"/>
          <w:sz w:val="24"/>
        </w:rPr>
      </w:r>
    </w:p>
    <w:p>
      <w:pPr>
        <w:pStyle w:val="Normal"/>
        <w:autoSpaceDE w:val="false"/>
        <w:rPr>
          <w:color w:val="000000"/>
          <w:sz w:val="24"/>
        </w:rPr>
      </w:pPr>
      <w:r>
        <w:rPr>
          <w:color w:val="000000"/>
          <w:sz w:val="24"/>
        </w:rPr>
        <w:t>Jonathan Puckett</w:t>
      </w:r>
    </w:p>
    <w:p>
      <w:pPr>
        <w:pStyle w:val="Normal"/>
        <w:autoSpaceDE w:val="false"/>
        <w:rPr>
          <w:color w:val="000000"/>
          <w:sz w:val="24"/>
        </w:rPr>
      </w:pPr>
      <w:r>
        <w:rPr>
          <w:color w:val="000000"/>
          <w:sz w:val="24"/>
        </w:rPr>
        <w:t>Director, Generation Power Control Center</w:t>
      </w:r>
    </w:p>
    <w:p>
      <w:pPr>
        <w:pStyle w:val="Normal"/>
        <w:autoSpaceDE w:val="false"/>
        <w:rPr>
          <w:color w:val="000000"/>
          <w:sz w:val="24"/>
        </w:rPr>
      </w:pPr>
      <w:r>
        <w:rPr>
          <w:color w:val="000000"/>
          <w:sz w:val="24"/>
        </w:rPr>
        <w:t>Duke Energy North America</w:t>
      </w:r>
    </w:p>
    <w:p>
      <w:pPr>
        <w:pStyle w:val="Normal"/>
        <w:autoSpaceDE w:val="false"/>
        <w:rPr>
          <w:color w:val="000000"/>
          <w:sz w:val="24"/>
        </w:rPr>
      </w:pPr>
      <w:r>
        <w:rPr>
          <w:color w:val="000000"/>
          <w:sz w:val="24"/>
        </w:rPr>
        <w:t>5400 Westheimer Ct.</w:t>
      </w:r>
    </w:p>
    <w:p>
      <w:pPr>
        <w:pStyle w:val="Normal"/>
        <w:autoSpaceDE w:val="false"/>
        <w:rPr>
          <w:color w:val="000000"/>
          <w:sz w:val="24"/>
        </w:rPr>
      </w:pPr>
      <w:r>
        <w:rPr>
          <w:color w:val="000000"/>
          <w:sz w:val="24"/>
        </w:rPr>
        <w:t>Houston, Texas 77056</w:t>
      </w:r>
    </w:p>
    <w:p>
      <w:pPr>
        <w:pStyle w:val="Normal"/>
        <w:autoSpaceDE w:val="false"/>
        <w:rPr>
          <w:color w:val="000000"/>
          <w:sz w:val="24"/>
        </w:rPr>
      </w:pPr>
      <w:r>
        <w:rPr>
          <w:color w:val="000000"/>
          <w:sz w:val="24"/>
        </w:rPr>
        <w:t>713-627-5913 office</w:t>
      </w:r>
    </w:p>
    <w:p>
      <w:pPr>
        <w:pStyle w:val="Normal"/>
        <w:autoSpaceDE w:val="false"/>
        <w:rPr>
          <w:color w:val="000000"/>
          <w:sz w:val="24"/>
        </w:rPr>
      </w:pPr>
      <w:r>
        <w:rPr>
          <w:color w:val="000000"/>
          <w:sz w:val="24"/>
        </w:rPr>
        <w:t>713-989-0449 fax</w:t>
      </w:r>
    </w:p>
    <w:p>
      <w:pPr>
        <w:pStyle w:val="Normal"/>
        <w:autoSpaceDE w:val="false"/>
        <w:rPr>
          <w:color w:val="000000"/>
          <w:sz w:val="24"/>
        </w:rPr>
      </w:pPr>
      <w:r>
        <w:rPr>
          <w:color w:val="000000"/>
          <w:sz w:val="24"/>
        </w:rPr>
      </w:r>
    </w:p>
    <w:p>
      <w:pPr>
        <w:pStyle w:val="Normal"/>
        <w:autoSpaceDE w:val="false"/>
        <w:rPr>
          <w:color w:val="000000"/>
          <w:sz w:val="24"/>
        </w:rPr>
      </w:pPr>
      <w:r>
        <w:rPr>
          <w:color w:val="000000"/>
          <w:sz w:val="24"/>
        </w:rPr>
        <w:t xml:space="preserve">Lisa Johnson </w:t>
      </w:r>
    </w:p>
    <w:p>
      <w:pPr>
        <w:pStyle w:val="Normal"/>
        <w:autoSpaceDE w:val="false"/>
        <w:rPr>
          <w:color w:val="000000"/>
          <w:sz w:val="24"/>
        </w:rPr>
      </w:pPr>
      <w:r>
        <w:rPr>
          <w:color w:val="000000"/>
          <w:sz w:val="24"/>
        </w:rPr>
        <w:t>Vice President-- Midwest Busines Unit</w:t>
      </w:r>
    </w:p>
    <w:p>
      <w:pPr>
        <w:pStyle w:val="Normal"/>
        <w:autoSpaceDE w:val="false"/>
        <w:rPr>
          <w:color w:val="000000"/>
          <w:sz w:val="24"/>
          <w:lang w:val="es-ES_tradnl"/>
        </w:rPr>
      </w:pPr>
      <w:r>
        <w:rPr>
          <w:color w:val="000000"/>
          <w:sz w:val="24"/>
          <w:lang w:val="es-ES_tradnl"/>
        </w:rPr>
        <w:t>Mirant Americas, Inc.</w:t>
      </w:r>
    </w:p>
    <w:p>
      <w:pPr>
        <w:pStyle w:val="Normal"/>
        <w:autoSpaceDE w:val="false"/>
        <w:rPr>
          <w:color w:val="000000"/>
          <w:sz w:val="24"/>
        </w:rPr>
      </w:pPr>
      <w:r>
        <w:rPr>
          <w:color w:val="000000"/>
          <w:sz w:val="24"/>
        </w:rPr>
        <w:t xml:space="preserve">P.O. Box 178027, </w:t>
      </w:r>
    </w:p>
    <w:p>
      <w:pPr>
        <w:pStyle w:val="Normal"/>
        <w:autoSpaceDE w:val="false"/>
        <w:rPr>
          <w:color w:val="000000"/>
          <w:sz w:val="24"/>
        </w:rPr>
      </w:pPr>
      <w:r>
        <w:rPr>
          <w:color w:val="000000"/>
          <w:sz w:val="24"/>
        </w:rPr>
        <w:t>Chicago, IL 60617</w:t>
      </w:r>
    </w:p>
    <w:p>
      <w:pPr>
        <w:pStyle w:val="Normal"/>
        <w:autoSpaceDE w:val="false"/>
        <w:rPr>
          <w:color w:val="000000"/>
          <w:sz w:val="24"/>
        </w:rPr>
      </w:pPr>
      <w:r>
        <w:rPr>
          <w:color w:val="000000"/>
          <w:sz w:val="24"/>
        </w:rPr>
        <w:t>tele:  219.473.6402</w:t>
      </w:r>
    </w:p>
    <w:p>
      <w:pPr>
        <w:pStyle w:val="Normal"/>
        <w:autoSpaceDE w:val="false"/>
        <w:rPr>
          <w:color w:val="000000"/>
          <w:sz w:val="24"/>
        </w:rPr>
      </w:pPr>
      <w:r>
        <w:rPr>
          <w:color w:val="000000"/>
          <w:sz w:val="24"/>
        </w:rPr>
        <w:t>fax:   219.473.6420</w:t>
      </w:r>
    </w:p>
    <w:p>
      <w:pPr>
        <w:pStyle w:val="Normal"/>
        <w:autoSpaceDE w:val="false"/>
        <w:rPr>
          <w:color w:val="000000"/>
          <w:sz w:val="24"/>
        </w:rPr>
      </w:pPr>
      <w:r>
        <w:rPr>
          <w:color w:val="000000"/>
          <w:sz w:val="24"/>
        </w:rPr>
      </w:r>
    </w:p>
    <w:p>
      <w:pPr>
        <w:pStyle w:val="Normal"/>
        <w:autoSpaceDE w:val="false"/>
        <w:rPr>
          <w:color w:val="000000"/>
          <w:sz w:val="24"/>
        </w:rPr>
      </w:pPr>
      <w:r>
        <w:rPr>
          <w:color w:val="000000"/>
          <w:sz w:val="24"/>
        </w:rPr>
        <w:t>John Meyer</w:t>
      </w:r>
    </w:p>
    <w:p>
      <w:pPr>
        <w:pStyle w:val="Normal"/>
        <w:autoSpaceDE w:val="false"/>
        <w:rPr>
          <w:color w:val="000000"/>
          <w:sz w:val="24"/>
        </w:rPr>
      </w:pPr>
      <w:r>
        <w:rPr>
          <w:color w:val="000000"/>
          <w:sz w:val="24"/>
        </w:rPr>
        <w:t>Vice-President Asset Commercialization</w:t>
      </w:r>
    </w:p>
    <w:p>
      <w:pPr>
        <w:pStyle w:val="Normal"/>
        <w:autoSpaceDE w:val="false"/>
        <w:rPr>
          <w:color w:val="000000"/>
          <w:sz w:val="24"/>
        </w:rPr>
      </w:pPr>
      <w:r>
        <w:rPr>
          <w:color w:val="000000"/>
          <w:sz w:val="24"/>
        </w:rPr>
        <w:t>Reliant Energy Power Generation, Inc.</w:t>
      </w:r>
    </w:p>
    <w:p>
      <w:pPr>
        <w:pStyle w:val="Normal"/>
        <w:autoSpaceDE w:val="false"/>
        <w:rPr>
          <w:color w:val="000000"/>
          <w:sz w:val="24"/>
        </w:rPr>
      </w:pPr>
      <w:r>
        <w:rPr>
          <w:color w:val="000000"/>
          <w:sz w:val="24"/>
        </w:rPr>
        <w:t>P.O. Box 286</w:t>
      </w:r>
    </w:p>
    <w:p>
      <w:pPr>
        <w:pStyle w:val="Normal"/>
        <w:autoSpaceDE w:val="false"/>
        <w:rPr>
          <w:color w:val="000000"/>
          <w:sz w:val="24"/>
        </w:rPr>
      </w:pPr>
      <w:r>
        <w:rPr>
          <w:color w:val="000000"/>
          <w:sz w:val="24"/>
        </w:rPr>
        <w:t>Houston, Texas  77001-0286</w:t>
      </w:r>
    </w:p>
    <w:p>
      <w:pPr>
        <w:pStyle w:val="Normal"/>
        <w:autoSpaceDE w:val="false"/>
        <w:rPr>
          <w:color w:val="000000"/>
          <w:sz w:val="24"/>
        </w:rPr>
      </w:pPr>
      <w:r>
        <w:rPr>
          <w:color w:val="000000"/>
          <w:sz w:val="24"/>
        </w:rPr>
        <w:t>Telephone: (713) 207-6000</w:t>
      </w:r>
    </w:p>
    <w:p>
      <w:pPr>
        <w:pStyle w:val="Normal"/>
        <w:autoSpaceDE w:val="false"/>
        <w:rPr>
          <w:color w:val="000000"/>
          <w:sz w:val="24"/>
        </w:rPr>
      </w:pPr>
      <w:r>
        <w:rPr>
          <w:color w:val="000000"/>
          <w:sz w:val="24"/>
        </w:rPr>
        <w:t>Facsimile:  (713) 207-9172</w:t>
      </w:r>
    </w:p>
    <w:p>
      <w:pPr>
        <w:pStyle w:val="Normal"/>
        <w:autoSpaceDE w:val="false"/>
        <w:rPr>
          <w:rFonts w:ascii="Courier" w:hAnsi="Courier" w:cs="Courier"/>
          <w:color w:val="000000"/>
          <w:sz w:val="24"/>
        </w:rPr>
      </w:pPr>
      <w:r>
        <w:rPr>
          <w:rFonts w:cs="Courier" w:ascii="Courier" w:hAnsi="Courier"/>
          <w:color w:val="000000"/>
          <w:sz w:val="24"/>
        </w:rPr>
      </w:r>
    </w:p>
    <w:p>
      <w:pPr>
        <w:pStyle w:val="Normal"/>
        <w:rPr>
          <w:rFonts w:ascii="Courier" w:hAnsi="Courier" w:cs="Courier"/>
          <w:color w:val="000000"/>
          <w:sz w:val="24"/>
        </w:rPr>
      </w:pPr>
      <w:r>
        <w:rPr>
          <w:rFonts w:cs="Courier" w:ascii="Courier" w:hAnsi="Courier"/>
          <w:color w:val="000000"/>
          <w:sz w:val="24"/>
        </w:rPr>
      </w:r>
    </w:p>
    <w:p>
      <w:pPr>
        <w:pStyle w:val="Normal"/>
        <w:rPr>
          <w:sz w:val="24"/>
        </w:rPr>
      </w:pPr>
      <w:r>
        <w:rPr>
          <w:sz w:val="24"/>
        </w:rPr>
      </w:r>
    </w:p>
    <w:p>
      <w:pPr>
        <w:pStyle w:val="Normal"/>
        <w:rPr>
          <w:sz w:val="24"/>
        </w:rPr>
      </w:pPr>
      <w:r>
        <w:rPr>
          <w:sz w:val="24"/>
        </w:rPr>
        <w:t>cc: Michehl R. Gent, NERC President and CEO</w:t>
      </w:r>
    </w:p>
    <w:p>
      <w:pPr>
        <w:pStyle w:val="Normal"/>
        <w:rPr>
          <w:sz w:val="24"/>
        </w:rPr>
      </w:pPr>
      <w:r>
        <w:rPr>
          <w:sz w:val="24"/>
        </w:rPr>
        <w:t xml:space="preserve">      </w:t>
      </w:r>
      <w:r>
        <w:rPr>
          <w:sz w:val="24"/>
        </w:rPr>
        <w:t>Kevin Kelly, FERC Staff</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autoSpaceDE w:val="false"/>
      <w:outlineLvl w:val="1"/>
    </w:pPr>
    <w:rPr>
      <w:color w:val="000000"/>
      <w:sz w:val="24"/>
    </w:rPr>
  </w:style>
  <w:style w:type="character" w:styleId="DefaultParagraphFont">
    <w:name w:val="Default Paragraph Font"/>
    <w:qFormat/>
    <w:rPr/>
  </w:style>
  <w:style w:type="paragraph" w:styleId="Heading">
    <w:name w:val="Heading"/>
    <w:basedOn w:val="Normal"/>
    <w:next w:val="BodyText"/>
    <w:qFormat/>
    <w:pPr>
      <w:jc w:val="center"/>
    </w:pPr>
    <w:rPr>
      <w:b/>
      <w:bCs/>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2001-09-21T15:00:00Z</dcterms:created>
  <dc:creator>John Mathis</dc:creator>
  <dc:description/>
  <dc:language>en-CA</dc:language>
  <cp:lastModifiedBy>Reem Fahey</cp:lastModifiedBy>
  <cp:lastPrinted>2001-09-21T16:06:00Z</cp:lastPrinted>
  <dcterms:modified xsi:type="dcterms:W3CDTF">2001-09-21T18:43:00Z</dcterms:modified>
  <cp:revision>17</cp:revision>
  <dc:subject/>
  <dc:title>Letter to MAIN</dc:title>
</cp:coreProperties>
</file>