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jc w:val="end"/>
        <w:rPr>
          <w:sz w:val="24"/>
        </w:rPr>
      </w:pPr>
      <w:r>
        <w:rPr/>
        <w:t>Exhibit 2</w:t>
      </w:r>
    </w:p>
    <w:p>
      <w:pPr>
        <w:pStyle w:val="Heading4"/>
        <w:ind w:hanging="0" w:start="0"/>
        <w:rPr>
          <w:sz w:val="24"/>
        </w:rPr>
      </w:pPr>
      <w:r>
        <w:rPr>
          <w:sz w:val="24"/>
        </w:rPr>
      </w:r>
    </w:p>
    <w:p>
      <w:pPr>
        <w:pStyle w:val="Heading4"/>
        <w:ind w:hanging="0" w:start="0"/>
        <w:rPr>
          <w:sz w:val="24"/>
        </w:rPr>
      </w:pPr>
      <w:r>
        <w:rPr>
          <w:sz w:val="24"/>
        </w:rPr>
        <w:t>MAIN Regional Compliance and Enforcement Program</w:t>
      </w:r>
    </w:p>
    <w:p>
      <w:pPr>
        <w:pStyle w:val="Heading4"/>
        <w:ind w:hanging="0" w:start="0"/>
        <w:rPr>
          <w:sz w:val="24"/>
        </w:rPr>
      </w:pPr>
      <w:r>
        <w:rPr>
          <w:sz w:val="24"/>
        </w:rPr>
      </w:r>
    </w:p>
    <w:p>
      <w:pPr>
        <w:pStyle w:val="Normal"/>
        <w:jc w:val="center"/>
        <w:rPr>
          <w:sz w:val="22"/>
        </w:rPr>
      </w:pPr>
      <w:r>
        <w:rPr>
          <w:sz w:val="22"/>
        </w:rPr>
      </w:r>
    </w:p>
    <w:p>
      <w:pPr>
        <w:pStyle w:val="BodyText"/>
        <w:rPr>
          <w:b/>
          <w:u w:val="single"/>
        </w:rPr>
      </w:pPr>
      <w:r>
        <w:rPr>
          <w:b/>
          <w:u w:val="single"/>
        </w:rPr>
        <w:t>Purpose</w:t>
      </w:r>
    </w:p>
    <w:p>
      <w:pPr>
        <w:pStyle w:val="BodyText"/>
        <w:rPr>
          <w:b/>
          <w:u w:val="single"/>
        </w:rPr>
      </w:pPr>
      <w:r>
        <w:rPr>
          <w:b/>
          <w:u w:val="single"/>
        </w:rPr>
      </w:r>
    </w:p>
    <w:p>
      <w:pPr>
        <w:pStyle w:val="BodyText"/>
        <w:ind w:hanging="360" w:start="360" w:end="0"/>
        <w:rPr/>
      </w:pPr>
      <w:r>
        <w:rPr/>
        <w:t>a.</w:t>
        <w:tab/>
        <w:t>This document (Exhibit 2) sets forth the provisions of the MAIN Regional Compliance and Enforcement Program (MAIN Program) implemented pursuant to the Agreement for Participation in MAIN Regional Compliance and Enforcement Program (MAIN Agreement) and the Agreement for Regional Compliance and Enforcement Programs between and among MAIN, NERC and the other Regional Reliability Council’s (NERC Agreement).  This Exhibit 2, together with the MAIN Agreement and NERC Agreement, constitutes the MAIN Program.</w:t>
      </w:r>
    </w:p>
    <w:p>
      <w:pPr>
        <w:pStyle w:val="BodyText"/>
        <w:rPr/>
      </w:pPr>
      <w:r>
        <w:rPr/>
      </w:r>
    </w:p>
    <w:p>
      <w:pPr>
        <w:pStyle w:val="BodyText"/>
        <w:rPr>
          <w:b/>
        </w:rPr>
      </w:pPr>
      <w:r>
        <w:rPr>
          <w:b/>
        </w:rPr>
        <w:t>Contents</w:t>
      </w:r>
    </w:p>
    <w:p>
      <w:pPr>
        <w:pStyle w:val="BodyText"/>
        <w:rPr>
          <w:b/>
        </w:rPr>
      </w:pPr>
      <w:r>
        <w:rPr>
          <w:b/>
        </w:rPr>
      </w:r>
    </w:p>
    <w:p>
      <w:pPr>
        <w:pStyle w:val="BodyText"/>
        <w:rPr/>
      </w:pPr>
      <w:r>
        <w:rPr/>
        <w:t>Exhibit 2 includes the following Sections</w:t>
        <w:tab/>
        <w:tab/>
        <w:tab/>
        <w:tab/>
        <w:tab/>
        <w:t>Page</w:t>
      </w:r>
    </w:p>
    <w:p>
      <w:pPr>
        <w:pStyle w:val="BodyText"/>
        <w:rPr/>
      </w:pPr>
      <w:r>
        <w:rPr/>
      </w:r>
    </w:p>
    <w:p>
      <w:pPr>
        <w:pStyle w:val="BodyText"/>
        <w:numPr>
          <w:ilvl w:val="0"/>
          <w:numId w:val="3"/>
        </w:numPr>
        <w:tabs>
          <w:tab w:val="left" w:pos="720" w:leader="none"/>
        </w:tabs>
        <w:ind w:hanging="720" w:start="720" w:end="0"/>
        <w:rPr>
          <w:b/>
        </w:rPr>
      </w:pPr>
      <w:r>
        <w:rPr>
          <w:b/>
        </w:rPr>
        <w:t>Program Overview</w:t>
        <w:tab/>
        <w:tab/>
        <w:tab/>
        <w:tab/>
        <w:tab/>
        <w:tab/>
        <w:tab/>
        <w:t xml:space="preserve">  </w:t>
      </w:r>
      <w:r>
        <w:rPr/>
        <w:t>2</w:t>
      </w:r>
    </w:p>
    <w:p>
      <w:pPr>
        <w:pStyle w:val="BodyText"/>
        <w:rPr>
          <w:b/>
        </w:rPr>
      </w:pPr>
      <w:r>
        <w:rPr>
          <w:b/>
        </w:rPr>
      </w:r>
    </w:p>
    <w:p>
      <w:pPr>
        <w:pStyle w:val="BodyText"/>
        <w:numPr>
          <w:ilvl w:val="0"/>
          <w:numId w:val="3"/>
        </w:numPr>
        <w:tabs>
          <w:tab w:val="left" w:pos="720" w:leader="none"/>
        </w:tabs>
        <w:ind w:hanging="720" w:start="720" w:end="0"/>
        <w:rPr>
          <w:b/>
        </w:rPr>
      </w:pPr>
      <w:r>
        <w:rPr>
          <w:b/>
        </w:rPr>
        <w:t>MAIN Compliance Agreement Participants Group</w:t>
        <w:tab/>
        <w:tab/>
        <w:tab/>
        <w:t xml:space="preserve">  </w:t>
      </w:r>
      <w:r>
        <w:rPr/>
        <w:t>2</w:t>
      </w:r>
    </w:p>
    <w:p>
      <w:pPr>
        <w:pStyle w:val="BodyText"/>
        <w:rPr>
          <w:b/>
        </w:rPr>
      </w:pPr>
      <w:r>
        <w:rPr>
          <w:b/>
        </w:rPr>
      </w:r>
    </w:p>
    <w:p>
      <w:pPr>
        <w:pStyle w:val="BodyText"/>
        <w:numPr>
          <w:ilvl w:val="0"/>
          <w:numId w:val="3"/>
        </w:numPr>
        <w:tabs>
          <w:tab w:val="left" w:pos="720" w:leader="none"/>
        </w:tabs>
        <w:ind w:hanging="720" w:start="720" w:end="0"/>
        <w:rPr>
          <w:b/>
        </w:rPr>
      </w:pPr>
      <w:r>
        <w:rPr>
          <w:b/>
        </w:rPr>
        <w:t>Reliability Standards and Obligations</w:t>
        <w:tab/>
        <w:tab/>
        <w:tab/>
        <w:tab/>
        <w:tab/>
        <w:t xml:space="preserve">  </w:t>
      </w:r>
      <w:r>
        <w:rPr/>
        <w:t>4</w:t>
      </w:r>
    </w:p>
    <w:p>
      <w:pPr>
        <w:pStyle w:val="BodyText"/>
        <w:rPr>
          <w:b/>
        </w:rPr>
      </w:pPr>
      <w:r>
        <w:rPr>
          <w:b/>
        </w:rPr>
      </w:r>
    </w:p>
    <w:p>
      <w:pPr>
        <w:pStyle w:val="BodyText"/>
        <w:numPr>
          <w:ilvl w:val="0"/>
          <w:numId w:val="3"/>
        </w:numPr>
        <w:tabs>
          <w:tab w:val="left" w:pos="720" w:leader="none"/>
        </w:tabs>
        <w:ind w:hanging="720" w:start="720" w:end="0"/>
        <w:rPr>
          <w:b/>
        </w:rPr>
      </w:pPr>
      <w:r>
        <w:rPr>
          <w:b/>
        </w:rPr>
        <w:t>Commitment to and Participation in Program</w:t>
        <w:tab/>
        <w:tab/>
        <w:tab/>
        <w:tab/>
        <w:t xml:space="preserve">  </w:t>
      </w:r>
      <w:r>
        <w:rPr/>
        <w:t>4</w:t>
      </w:r>
    </w:p>
    <w:p>
      <w:pPr>
        <w:pStyle w:val="BodyText"/>
        <w:rPr>
          <w:b/>
        </w:rPr>
      </w:pPr>
      <w:r>
        <w:rPr>
          <w:b/>
        </w:rPr>
      </w:r>
    </w:p>
    <w:p>
      <w:pPr>
        <w:pStyle w:val="BodyText"/>
        <w:numPr>
          <w:ilvl w:val="0"/>
          <w:numId w:val="3"/>
        </w:numPr>
        <w:tabs>
          <w:tab w:val="left" w:pos="720" w:leader="none"/>
        </w:tabs>
        <w:ind w:hanging="720" w:start="720" w:end="0"/>
        <w:rPr>
          <w:b/>
        </w:rPr>
      </w:pPr>
      <w:r>
        <w:rPr>
          <w:b/>
        </w:rPr>
        <w:t>Confidentiality of Data</w:t>
        <w:tab/>
        <w:tab/>
        <w:tab/>
        <w:tab/>
        <w:tab/>
        <w:tab/>
        <w:t xml:space="preserve">  </w:t>
      </w:r>
      <w:r>
        <w:rPr/>
        <w:t>4</w:t>
      </w:r>
    </w:p>
    <w:p>
      <w:pPr>
        <w:pStyle w:val="BodyText"/>
        <w:rPr>
          <w:b/>
        </w:rPr>
      </w:pPr>
      <w:r>
        <w:rPr>
          <w:b/>
        </w:rPr>
      </w:r>
    </w:p>
    <w:p>
      <w:pPr>
        <w:pStyle w:val="BodyText"/>
        <w:numPr>
          <w:ilvl w:val="0"/>
          <w:numId w:val="3"/>
        </w:numPr>
        <w:tabs>
          <w:tab w:val="left" w:pos="720" w:leader="none"/>
        </w:tabs>
        <w:ind w:hanging="720" w:start="720" w:end="0"/>
        <w:rPr>
          <w:b/>
        </w:rPr>
      </w:pPr>
      <w:r>
        <w:rPr>
          <w:b/>
        </w:rPr>
        <w:t>Determining Compliance or Non-Compliance</w:t>
        <w:tab/>
        <w:tab/>
        <w:tab/>
        <w:tab/>
        <w:t xml:space="preserve">  </w:t>
      </w:r>
      <w:r>
        <w:rPr/>
        <w:t>6</w:t>
      </w:r>
    </w:p>
    <w:p>
      <w:pPr>
        <w:pStyle w:val="BodyText"/>
        <w:rPr>
          <w:b/>
        </w:rPr>
      </w:pPr>
      <w:r>
        <w:rPr>
          <w:b/>
        </w:rPr>
      </w:r>
    </w:p>
    <w:p>
      <w:pPr>
        <w:pStyle w:val="BodyText"/>
        <w:numPr>
          <w:ilvl w:val="0"/>
          <w:numId w:val="3"/>
        </w:numPr>
        <w:tabs>
          <w:tab w:val="left" w:pos="720" w:leader="none"/>
        </w:tabs>
        <w:ind w:hanging="720" w:start="720" w:end="0"/>
        <w:rPr>
          <w:b/>
        </w:rPr>
      </w:pPr>
      <w:r>
        <w:rPr>
          <w:b/>
        </w:rPr>
        <w:t>Sanctions</w:t>
        <w:tab/>
        <w:tab/>
        <w:tab/>
        <w:tab/>
        <w:tab/>
        <w:tab/>
        <w:tab/>
        <w:tab/>
        <w:t xml:space="preserve">  </w:t>
      </w:r>
      <w:r>
        <w:rPr/>
        <w:t>6</w:t>
      </w:r>
    </w:p>
    <w:p>
      <w:pPr>
        <w:pStyle w:val="BodyText"/>
        <w:rPr>
          <w:b/>
        </w:rPr>
      </w:pPr>
      <w:r>
        <w:rPr>
          <w:b/>
        </w:rPr>
      </w:r>
    </w:p>
    <w:p>
      <w:pPr>
        <w:pStyle w:val="BodyText"/>
        <w:numPr>
          <w:ilvl w:val="0"/>
          <w:numId w:val="3"/>
        </w:numPr>
        <w:tabs>
          <w:tab w:val="left" w:pos="720" w:leader="none"/>
        </w:tabs>
        <w:ind w:hanging="720" w:start="720" w:end="0"/>
        <w:rPr>
          <w:b/>
        </w:rPr>
      </w:pPr>
      <w:r>
        <w:rPr>
          <w:b/>
        </w:rPr>
        <w:t>Appeals Process</w:t>
        <w:tab/>
        <w:tab/>
        <w:tab/>
        <w:tab/>
        <w:tab/>
        <w:tab/>
        <w:tab/>
        <w:t xml:space="preserve">  </w:t>
      </w:r>
      <w:r>
        <w:rPr/>
        <w:t>7</w:t>
      </w:r>
    </w:p>
    <w:p>
      <w:pPr>
        <w:pStyle w:val="BodyText"/>
        <w:rPr>
          <w:b/>
        </w:rPr>
      </w:pPr>
      <w:r>
        <w:rPr>
          <w:b/>
        </w:rPr>
      </w:r>
    </w:p>
    <w:p>
      <w:pPr>
        <w:pStyle w:val="BodyText"/>
        <w:numPr>
          <w:ilvl w:val="0"/>
          <w:numId w:val="3"/>
        </w:numPr>
        <w:tabs>
          <w:tab w:val="left" w:pos="720" w:leader="none"/>
        </w:tabs>
        <w:ind w:hanging="720" w:start="720" w:end="0"/>
        <w:rPr>
          <w:b/>
        </w:rPr>
      </w:pPr>
      <w:r>
        <w:rPr>
          <w:b/>
        </w:rPr>
        <w:t>Necessary Regulatory Approvals</w:t>
        <w:tab/>
        <w:tab/>
        <w:tab/>
        <w:tab/>
        <w:tab/>
        <w:t xml:space="preserve">  </w:t>
      </w:r>
      <w:r>
        <w:rPr/>
        <w:t>7</w:t>
      </w:r>
    </w:p>
    <w:p>
      <w:pPr>
        <w:pStyle w:val="BodyText"/>
        <w:rPr>
          <w:b/>
        </w:rPr>
      </w:pPr>
      <w:r>
        <w:rPr>
          <w:b/>
        </w:rPr>
      </w:r>
    </w:p>
    <w:p>
      <w:pPr>
        <w:pStyle w:val="BodyText"/>
        <w:numPr>
          <w:ilvl w:val="0"/>
          <w:numId w:val="3"/>
        </w:numPr>
        <w:tabs>
          <w:tab w:val="left" w:pos="720" w:leader="none"/>
        </w:tabs>
        <w:ind w:hanging="720" w:start="720" w:end="0"/>
        <w:rPr>
          <w:b/>
        </w:rPr>
      </w:pPr>
      <w:r>
        <w:rPr>
          <w:b/>
        </w:rPr>
        <w:t>Process for Amending or Revising Program or</w:t>
        <w:tab/>
        <w:tab/>
        <w:tab/>
        <w:t xml:space="preserve">  </w:t>
      </w:r>
      <w:r>
        <w:rPr/>
        <w:t>7</w:t>
      </w:r>
    </w:p>
    <w:p>
      <w:pPr>
        <w:pStyle w:val="BodyText"/>
        <w:ind w:firstLine="720" w:end="0"/>
        <w:rPr>
          <w:b/>
        </w:rPr>
      </w:pPr>
      <w:r>
        <w:rPr>
          <w:b/>
        </w:rPr>
        <w:t xml:space="preserve">Any Agreements with Participants </w:t>
      </w:r>
    </w:p>
    <w:p>
      <w:pPr>
        <w:pStyle w:val="BodyText"/>
        <w:rPr>
          <w:b/>
        </w:rPr>
      </w:pPr>
      <w:r>
        <w:rPr>
          <w:b/>
        </w:rPr>
      </w:r>
    </w:p>
    <w:p>
      <w:pPr>
        <w:pStyle w:val="BodyText"/>
        <w:numPr>
          <w:ilvl w:val="0"/>
          <w:numId w:val="3"/>
        </w:numPr>
        <w:tabs>
          <w:tab w:val="left" w:pos="720" w:leader="none"/>
        </w:tabs>
        <w:ind w:hanging="720" w:start="720" w:end="0"/>
        <w:rPr>
          <w:b/>
        </w:rPr>
      </w:pPr>
      <w:r>
        <w:rPr>
          <w:b/>
        </w:rPr>
        <w:t>Term and Termination of Program</w:t>
        <w:tab/>
        <w:tab/>
        <w:tab/>
        <w:tab/>
        <w:tab/>
        <w:t xml:space="preserve">  </w:t>
      </w:r>
      <w:r>
        <w:rPr/>
        <w:t>7</w:t>
      </w:r>
    </w:p>
    <w:p>
      <w:pPr>
        <w:pStyle w:val="BodyText"/>
        <w:rPr>
          <w:b/>
        </w:rPr>
      </w:pPr>
      <w:r>
        <w:rPr>
          <w:b/>
        </w:rPr>
      </w:r>
    </w:p>
    <w:p>
      <w:pPr>
        <w:pStyle w:val="BodyText"/>
        <w:rPr>
          <w:b/>
        </w:rPr>
      </w:pPr>
      <w:r>
        <w:rPr>
          <w:b/>
        </w:rPr>
      </w:r>
      <w:r>
        <w:br w:type="page"/>
      </w:r>
    </w:p>
    <w:p>
      <w:pPr>
        <w:pStyle w:val="BodyText"/>
        <w:rPr/>
      </w:pPr>
      <w:r>
        <w:rPr/>
        <w:t>I.</w:t>
        <w:tab/>
      </w:r>
      <w:r>
        <w:rPr>
          <w:b/>
        </w:rPr>
        <w:t>Program Overview</w:t>
      </w:r>
    </w:p>
    <w:p>
      <w:pPr>
        <w:pStyle w:val="BodyText"/>
        <w:rPr>
          <w:b/>
        </w:rPr>
      </w:pPr>
      <w:r>
        <w:rPr>
          <w:b/>
        </w:rPr>
      </w:r>
    </w:p>
    <w:p>
      <w:pPr>
        <w:pStyle w:val="BodyText"/>
        <w:ind w:hanging="360" w:start="360" w:end="0"/>
        <w:rPr/>
      </w:pPr>
      <w:r>
        <w:rPr/>
        <w:t>a.</w:t>
        <w:tab/>
        <w:t>The compliance and enforcement provisions of the MAIN Program apply to all Parties that have executed the MAIN Agreement and to any other entities in the MAIN Region to the extent that they have committed to comply with the provisions of the MAIN Program.  This Exhibit 2 describes the key elements of the MAIN Program.  Any conflict or contradiction with this Exhibit 2 and the MAIN Agreement shall be resolved in favor of the MAIN Agreement.</w:t>
      </w:r>
    </w:p>
    <w:p>
      <w:pPr>
        <w:pStyle w:val="BodyText"/>
        <w:rPr/>
      </w:pPr>
      <w:r>
        <w:rPr/>
      </w:r>
    </w:p>
    <w:p>
      <w:pPr>
        <w:pStyle w:val="BodyText"/>
        <w:rPr/>
      </w:pPr>
      <w:r>
        <w:rPr/>
        <w:t>II.</w:t>
        <w:tab/>
      </w:r>
      <w:r>
        <w:rPr>
          <w:b/>
        </w:rPr>
        <w:t>MAIN Compliance Agreement Participants Group (MCAPG)</w:t>
      </w:r>
    </w:p>
    <w:p>
      <w:pPr>
        <w:pStyle w:val="BodyText"/>
        <w:rPr>
          <w:b/>
        </w:rPr>
      </w:pPr>
      <w:r>
        <w:rPr>
          <w:b/>
        </w:rPr>
      </w:r>
    </w:p>
    <w:p>
      <w:pPr>
        <w:pStyle w:val="BodyText"/>
        <w:numPr>
          <w:ilvl w:val="0"/>
          <w:numId w:val="4"/>
        </w:numPr>
        <w:tabs>
          <w:tab w:val="clear" w:pos="720"/>
          <w:tab w:val="left" w:pos="360" w:leader="none"/>
        </w:tabs>
        <w:ind w:hanging="360" w:start="360" w:end="0"/>
        <w:rPr/>
      </w:pPr>
      <w:r>
        <w:rPr>
          <w:b/>
        </w:rPr>
        <w:t>Formation of MAIN Compliance Agreement Participants Group.</w:t>
      </w:r>
      <w:r>
        <w:rPr/>
        <w:t xml:space="preserve">  A MAIN Compliance Agreement Participants Group (MCAPG) shall be formed for the purpose of administering the MAIN Program.  The MCAPG shall report to the MAIN Board of Directors.</w:t>
      </w:r>
    </w:p>
    <w:p>
      <w:pPr>
        <w:pStyle w:val="BodyText"/>
        <w:rPr/>
      </w:pPr>
      <w:r>
        <w:rPr/>
      </w:r>
    </w:p>
    <w:p>
      <w:pPr>
        <w:pStyle w:val="BodyText"/>
        <w:numPr>
          <w:ilvl w:val="0"/>
          <w:numId w:val="4"/>
        </w:numPr>
        <w:tabs>
          <w:tab w:val="clear" w:pos="720"/>
          <w:tab w:val="left" w:pos="360" w:leader="none"/>
        </w:tabs>
        <w:ind w:hanging="360" w:start="360" w:end="0"/>
        <w:rPr/>
      </w:pPr>
      <w:r>
        <w:rPr>
          <w:b/>
        </w:rPr>
        <w:t xml:space="preserve">Composition of MAIN Compliance Agreement Participants Group.  </w:t>
      </w:r>
      <w:r>
        <w:rPr/>
        <w:t>The MCAPG shall consist of one representative designated by each Party and including one representative of MAIN.  If a member of the MCAPG resigns, is withdrawn by the Party which designated him or her, or otherwise becomes unable to serve on the MCAPG, the Party which designated such member shall designate a successor representative as soon a possible.  The representatives of the Parties on the MCAPG shall be considered to represent the interests of the Parties and shall have the authority to vote on behalf of the Parties on matters in which the Parties are permitted or required to act collectively under the MAIN Agreement.</w:t>
      </w:r>
    </w:p>
    <w:p>
      <w:pPr>
        <w:pStyle w:val="BodyText"/>
        <w:rPr/>
      </w:pPr>
      <w:r>
        <w:rPr/>
      </w:r>
    </w:p>
    <w:p>
      <w:pPr>
        <w:pStyle w:val="BodyText"/>
        <w:numPr>
          <w:ilvl w:val="0"/>
          <w:numId w:val="4"/>
        </w:numPr>
        <w:tabs>
          <w:tab w:val="clear" w:pos="720"/>
          <w:tab w:val="left" w:pos="360" w:leader="none"/>
        </w:tabs>
        <w:ind w:hanging="360" w:start="360" w:end="0"/>
        <w:rPr/>
      </w:pPr>
      <w:r>
        <w:rPr>
          <w:b/>
        </w:rPr>
        <w:t xml:space="preserve">Chair and Vice Chair of the MAIN Compliance Agreement Participants Group.  </w:t>
      </w:r>
      <w:r>
        <w:rPr/>
        <w:t>Members of the MCAPG shall select a Chairman and Vice Chair from among its members.  The Chairman and Vice Chair shall each serve a two-year term.  The members of the MCAPG may select the same person to serve as Chairman and Vice Chair for successive terms, without limitation.  The Chairman or the Chairman’s designee will represent MAIN on the NERC Compliance Agreement Participants Group (CAPG).</w:t>
      </w:r>
    </w:p>
    <w:p>
      <w:pPr>
        <w:pStyle w:val="BodyText"/>
        <w:rPr/>
      </w:pPr>
      <w:r>
        <w:rPr/>
      </w:r>
    </w:p>
    <w:p>
      <w:pPr>
        <w:pStyle w:val="BodyText"/>
        <w:ind w:hanging="360" w:start="360" w:end="0"/>
        <w:rPr/>
      </w:pPr>
      <w:r>
        <w:rPr>
          <w:bCs/>
        </w:rPr>
        <w:t>d.</w:t>
        <w:tab/>
      </w:r>
      <w:r>
        <w:rPr>
          <w:b/>
        </w:rPr>
        <w:t xml:space="preserve">Procedures for the MAIN Compliance Agreement Participants Group.  </w:t>
      </w:r>
    </w:p>
    <w:p>
      <w:pPr>
        <w:pStyle w:val="BodyText"/>
        <w:rPr>
          <w:b/>
        </w:rPr>
      </w:pPr>
      <w:r>
        <w:rPr>
          <w:b/>
        </w:rPr>
      </w:r>
    </w:p>
    <w:p>
      <w:pPr>
        <w:pStyle w:val="BodyText"/>
        <w:ind w:hanging="360" w:start="720" w:end="0"/>
        <w:rPr/>
      </w:pPr>
      <w:r>
        <w:rPr/>
        <w:t>1.</w:t>
        <w:tab/>
        <w:t>The MCAPG (or any other person or entity identified herein) shall not have the authority to amend the MAIN Agreement, nor to add to, expand or increase the level of enforcement of Designated Reliability Standards except by unanimous consent of all the Parties.</w:t>
      </w:r>
    </w:p>
    <w:p>
      <w:pPr>
        <w:pStyle w:val="BodyText"/>
        <w:rPr/>
      </w:pPr>
      <w:r>
        <w:rPr/>
      </w:r>
    </w:p>
    <w:p>
      <w:pPr>
        <w:pStyle w:val="BodyText"/>
        <w:ind w:hanging="360" w:start="720" w:end="0"/>
        <w:rPr/>
      </w:pPr>
      <w:r>
        <w:rPr>
          <w:bCs/>
        </w:rPr>
        <w:t>2.</w:t>
        <w:tab/>
      </w:r>
      <w:r>
        <w:rPr/>
        <w:t>The MCAPG shall observe the following procedures in the conduct of its meetings and other activities, except as otherwise provided in this Exhibit 2 and the MAIN Agreement:</w:t>
      </w:r>
    </w:p>
    <w:p>
      <w:pPr>
        <w:pStyle w:val="BodyText"/>
        <w:rPr/>
      </w:pPr>
      <w:r>
        <w:rPr/>
      </w:r>
    </w:p>
    <w:p>
      <w:pPr>
        <w:pStyle w:val="BodyText"/>
        <w:numPr>
          <w:ilvl w:val="0"/>
          <w:numId w:val="9"/>
        </w:numPr>
        <w:tabs>
          <w:tab w:val="clear" w:pos="720"/>
          <w:tab w:val="left" w:pos="1440" w:leader="none"/>
        </w:tabs>
        <w:ind w:hanging="720" w:start="1440" w:end="0"/>
        <w:rPr/>
      </w:pPr>
      <w:r>
        <w:rPr/>
        <w:t>A majority of the members of the MCAPG shall constitute a quorum for purposes of voting on matters brought before the MCAPG.</w:t>
      </w:r>
    </w:p>
    <w:p>
      <w:pPr>
        <w:pStyle w:val="BodyText"/>
        <w:rPr/>
      </w:pPr>
      <w:r>
        <w:rPr/>
      </w:r>
    </w:p>
    <w:p>
      <w:pPr>
        <w:pStyle w:val="BodyText"/>
        <w:numPr>
          <w:ilvl w:val="1"/>
          <w:numId w:val="9"/>
        </w:numPr>
        <w:tabs>
          <w:tab w:val="clear" w:pos="720"/>
          <w:tab w:val="left" w:pos="1440" w:leader="none"/>
        </w:tabs>
        <w:ind w:hanging="720" w:start="1440" w:end="0"/>
        <w:rPr/>
      </w:pPr>
      <w:r>
        <w:rPr/>
        <w:t>The affirmative vote of three-fourths of the members of the MCAPG present in person or by proxy and voting shall be required for approval of any recommendation or proposal submitted to, or action to be taken by, the MCAPG.</w:t>
      </w:r>
    </w:p>
    <w:p>
      <w:pPr>
        <w:pStyle w:val="BodyText"/>
        <w:ind w:start="1440" w:end="0"/>
        <w:rPr/>
      </w:pPr>
      <w:r>
        <w:rPr/>
      </w:r>
    </w:p>
    <w:p>
      <w:pPr>
        <w:pStyle w:val="BodyText"/>
        <w:numPr>
          <w:ilvl w:val="1"/>
          <w:numId w:val="9"/>
        </w:numPr>
        <w:tabs>
          <w:tab w:val="clear" w:pos="720"/>
          <w:tab w:val="left" w:pos="1440" w:leader="none"/>
        </w:tabs>
        <w:ind w:hanging="720" w:start="1440" w:end="0"/>
        <w:rPr/>
      </w:pPr>
      <w:r>
        <w:rPr/>
        <w:t>Any or all of the members of the MCAPG may participate in a meeting of the MCAPG by means of a communications system by which all persons participating in the meeting are able to hear each other.</w:t>
      </w:r>
    </w:p>
    <w:p>
      <w:pPr>
        <w:pStyle w:val="BodyText"/>
        <w:numPr>
          <w:ilvl w:val="1"/>
          <w:numId w:val="9"/>
        </w:numPr>
        <w:tabs>
          <w:tab w:val="clear" w:pos="720"/>
          <w:tab w:val="left" w:pos="1440" w:leader="none"/>
        </w:tabs>
        <w:ind w:hanging="720" w:start="1440" w:end="0"/>
        <w:rPr/>
      </w:pPr>
      <w:r>
        <w:rPr/>
        <w:t>A substitute or proxy representative of a member of the MCAPG may attend and vote at meetings of the MCAPG, provided the absent member of the MCAPG gives advance written notice by letter, facsimile, or e-mail, to the Chair or Vice Chair of the MCAPG.</w:t>
      </w:r>
    </w:p>
    <w:p>
      <w:pPr>
        <w:pStyle w:val="BodyText"/>
        <w:rPr/>
      </w:pPr>
      <w:r>
        <w:rPr/>
      </w:r>
    </w:p>
    <w:p>
      <w:pPr>
        <w:pStyle w:val="BodyText"/>
        <w:ind w:hanging="360" w:start="720" w:end="0"/>
        <w:rPr/>
      </w:pPr>
      <w:r>
        <w:rPr/>
        <w:t>3.</w:t>
        <w:tab/>
        <w:t>The MCAPG may adopt such other rules or procedures, consistent with the provisions of the MAIN Agreement including Exhibits 1 and 2, as may be necessary to conduct its business in an orderly and efficient manner.</w:t>
      </w:r>
    </w:p>
    <w:p>
      <w:pPr>
        <w:pStyle w:val="BodyText"/>
        <w:rPr/>
      </w:pPr>
      <w:r>
        <w:rPr/>
      </w:r>
    </w:p>
    <w:p>
      <w:pPr>
        <w:pStyle w:val="BodyText"/>
        <w:ind w:hanging="360" w:start="360" w:end="0"/>
        <w:rPr/>
      </w:pPr>
      <w:r>
        <w:rPr>
          <w:bCs/>
        </w:rPr>
        <w:t>e.</w:t>
        <w:tab/>
      </w:r>
      <w:r>
        <w:rPr>
          <w:b/>
        </w:rPr>
        <w:t xml:space="preserve">Subcommittees and Task Forces of the MAIN Compliance Agreement Participants Group.  </w:t>
      </w:r>
      <w:r>
        <w:rPr/>
        <w:t>The MCAPG may from time to time form such subcommittees and task groups as it deems necessary or appropriate to carrying out its responsibilities.</w:t>
      </w:r>
    </w:p>
    <w:p>
      <w:pPr>
        <w:pStyle w:val="BodyText"/>
        <w:rPr/>
      </w:pPr>
      <w:r>
        <w:rPr/>
      </w:r>
    </w:p>
    <w:p>
      <w:pPr>
        <w:pStyle w:val="BodyText"/>
        <w:ind w:hanging="360" w:start="360" w:end="0"/>
        <w:rPr/>
      </w:pPr>
      <w:r>
        <w:rPr/>
        <w:t>f.</w:t>
        <w:tab/>
      </w:r>
      <w:r>
        <w:rPr>
          <w:b/>
        </w:rPr>
        <w:t xml:space="preserve">Duties and Responsibilities of the MAIN Compliance Agreement Participants Group.  </w:t>
      </w:r>
      <w:r>
        <w:rPr/>
        <w:t>The MCAPG shall have the following duties and responsibilities:</w:t>
      </w:r>
    </w:p>
    <w:p>
      <w:pPr>
        <w:pStyle w:val="BodyText"/>
        <w:rPr/>
      </w:pPr>
      <w:r>
        <w:rPr/>
      </w:r>
    </w:p>
    <w:p>
      <w:pPr>
        <w:pStyle w:val="BodyText"/>
        <w:numPr>
          <w:ilvl w:val="0"/>
          <w:numId w:val="13"/>
        </w:numPr>
        <w:tabs>
          <w:tab w:val="left" w:pos="720" w:leader="none"/>
        </w:tabs>
        <w:ind w:hanging="360" w:start="720" w:end="0"/>
        <w:rPr/>
      </w:pPr>
      <w:r>
        <w:rPr/>
        <w:t>Monitor the compliance and apply penalties or sanctions for non-compliance to the Parties.  In addition, the MCAPG may present an award or accolade for exemplary performance.</w:t>
      </w:r>
    </w:p>
    <w:p>
      <w:pPr>
        <w:pStyle w:val="BodyText"/>
        <w:rPr/>
      </w:pPr>
      <w:r>
        <w:rPr/>
      </w:r>
    </w:p>
    <w:p>
      <w:pPr>
        <w:pStyle w:val="BodyText"/>
        <w:numPr>
          <w:ilvl w:val="0"/>
          <w:numId w:val="13"/>
        </w:numPr>
        <w:tabs>
          <w:tab w:val="left" w:pos="720" w:leader="none"/>
        </w:tabs>
        <w:ind w:hanging="360" w:start="720" w:end="0"/>
        <w:rPr/>
      </w:pPr>
      <w:r>
        <w:rPr/>
        <w:t>Administer the process of Party compliance with the Reliability Standards.  Review compliance data and compliance assessments provided by the MAIN Director of Compliance.  Issue an assessment of the compliance review, including level of non-compliance, when appropriate.  Review compliance mitigation plans, recommend modifications, if needed, and approve submitted mitigation plans.  Approve any financial sanctions imposed on a Party.  If needed, invoke the MAIN Dispute Resolution process.</w:t>
      </w:r>
    </w:p>
    <w:p>
      <w:pPr>
        <w:pStyle w:val="BodyText"/>
        <w:rPr/>
      </w:pPr>
      <w:r>
        <w:rPr/>
      </w:r>
    </w:p>
    <w:p>
      <w:pPr>
        <w:pStyle w:val="BodyText"/>
        <w:numPr>
          <w:ilvl w:val="0"/>
          <w:numId w:val="13"/>
        </w:numPr>
        <w:tabs>
          <w:tab w:val="left" w:pos="720" w:leader="none"/>
        </w:tabs>
        <w:ind w:hanging="360" w:start="720" w:end="0"/>
        <w:rPr/>
      </w:pPr>
      <w:r>
        <w:rPr/>
        <w:t>Make periodic reports, at least every six months, to the MAIN Board of Directors and to each Party on the progress of MAIN in developing and implementing the MAIN Program.</w:t>
      </w:r>
    </w:p>
    <w:p>
      <w:pPr>
        <w:pStyle w:val="BodyText"/>
        <w:rPr/>
      </w:pPr>
      <w:r>
        <w:rPr/>
      </w:r>
    </w:p>
    <w:p>
      <w:pPr>
        <w:pStyle w:val="BodyText"/>
        <w:numPr>
          <w:ilvl w:val="0"/>
          <w:numId w:val="13"/>
        </w:numPr>
        <w:tabs>
          <w:tab w:val="left" w:pos="720" w:leader="none"/>
        </w:tabs>
        <w:ind w:hanging="360" w:start="720" w:end="0"/>
        <w:rPr/>
      </w:pPr>
      <w:r>
        <w:rPr/>
        <w:t>Approve the procedures used by MAIN staff to monitor compliance, determine non-compliance and propose sanctions.</w:t>
      </w:r>
    </w:p>
    <w:p>
      <w:pPr>
        <w:pStyle w:val="BodyText"/>
        <w:rPr/>
      </w:pPr>
      <w:r>
        <w:rPr/>
      </w:r>
    </w:p>
    <w:p>
      <w:pPr>
        <w:pStyle w:val="BodyText"/>
        <w:ind w:hanging="360" w:start="720" w:end="0"/>
        <w:rPr/>
      </w:pPr>
      <w:r>
        <w:rPr/>
        <w:t>5.</w:t>
        <w:tab/>
        <w:t>Review and approve the annual program plan, normally submitted by the MAIN Director of Compliance.</w:t>
      </w:r>
    </w:p>
    <w:p>
      <w:pPr>
        <w:pStyle w:val="BodyText"/>
        <w:rPr/>
      </w:pPr>
      <w:r>
        <w:rPr/>
      </w:r>
    </w:p>
    <w:p>
      <w:pPr>
        <w:pStyle w:val="BodyText"/>
        <w:ind w:hanging="360" w:start="720" w:end="0"/>
        <w:rPr/>
      </w:pPr>
      <w:r>
        <w:rPr/>
        <w:t>6.</w:t>
        <w:tab/>
        <w:t>The MCAPG shall also assess any revisions to the program proposed by the MAIN Director of Compliance, and (ii) shall monitor the activities undertaken by the MAIN Director of Compliance to assess the effectiveness of the MAIN Program.</w:t>
      </w:r>
    </w:p>
    <w:p>
      <w:pPr>
        <w:pStyle w:val="BodyText"/>
        <w:rPr/>
      </w:pPr>
      <w:r>
        <w:rPr/>
      </w:r>
    </w:p>
    <w:p>
      <w:pPr>
        <w:pStyle w:val="BodyText"/>
        <w:ind w:hanging="360" w:start="720" w:end="0"/>
        <w:rPr/>
      </w:pPr>
      <w:r>
        <w:rPr/>
        <w:t>7.</w:t>
        <w:tab/>
        <w:t>Provide formal comments to the MAIN Board of Directors and to each Party concerning the results of assessments conducted by the MAIN Director of Compliance of the effectiveness of the MAIN Program.</w:t>
      </w:r>
    </w:p>
    <w:p>
      <w:pPr>
        <w:pStyle w:val="BodyText"/>
        <w:rPr/>
      </w:pPr>
      <w:r>
        <w:rPr/>
      </w:r>
    </w:p>
    <w:p>
      <w:pPr>
        <w:pStyle w:val="BodyText"/>
        <w:ind w:hanging="360" w:start="720" w:end="0"/>
        <w:rPr/>
      </w:pPr>
      <w:r>
        <w:rPr/>
        <w:t>8.</w:t>
        <w:tab/>
        <w:t>Facilitate exchanges of information among Parties that are willing to share information concerning the development and implementation of their respective compliance efforts in order to provide Parties the benefit of experience gained or lessons learned by other Parties.</w:t>
      </w:r>
    </w:p>
    <w:p>
      <w:pPr>
        <w:pStyle w:val="BodyText"/>
        <w:rPr/>
      </w:pPr>
      <w:r>
        <w:rPr/>
      </w:r>
    </w:p>
    <w:p>
      <w:pPr>
        <w:pStyle w:val="BodyText"/>
        <w:ind w:hanging="360" w:start="720" w:end="0"/>
        <w:rPr/>
      </w:pPr>
      <w:r>
        <w:rPr/>
        <w:t>9.</w:t>
        <w:tab/>
        <w:t>Recommend to the MAIN Board of Directors such changes to the MAIN Program as set forth in Exhibit 2 as the MCAPG deems appropriate for improving the effectiveness of the MAIN Program.</w:t>
      </w:r>
    </w:p>
    <w:p>
      <w:pPr>
        <w:pStyle w:val="BodyText"/>
        <w:ind w:hanging="360" w:start="720" w:end="0"/>
        <w:rPr/>
      </w:pPr>
      <w:r>
        <w:rPr/>
      </w:r>
    </w:p>
    <w:p>
      <w:pPr>
        <w:pStyle w:val="BodyText"/>
        <w:ind w:hanging="360" w:start="720" w:end="0"/>
        <w:rPr/>
      </w:pPr>
      <w:r>
        <w:rPr/>
        <w:t>10.</w:t>
        <w:tab/>
        <w:t>Perform such other duties and actions, consistent with the provisions of the MAIN Program, as the MCAPG deems necessary or appropriate for the administration of the MAIN Program.</w:t>
      </w:r>
    </w:p>
    <w:p>
      <w:pPr>
        <w:pStyle w:val="BodyText"/>
        <w:rPr/>
      </w:pPr>
      <w:r>
        <w:rPr/>
      </w:r>
    </w:p>
    <w:p>
      <w:pPr>
        <w:pStyle w:val="BodyText"/>
        <w:tabs>
          <w:tab w:val="clear" w:pos="720"/>
          <w:tab w:val="left" w:pos="0" w:leader="none"/>
        </w:tabs>
        <w:ind w:hanging="360" w:start="360" w:end="0"/>
        <w:rPr/>
      </w:pPr>
      <w:r>
        <w:rPr>
          <w:bCs/>
        </w:rPr>
        <w:t>g.</w:t>
      </w:r>
      <w:r>
        <w:rPr>
          <w:b/>
        </w:rPr>
        <w:tab/>
        <w:t>Compensation and Reimbursement of MCAPG Members.</w:t>
      </w:r>
      <w:r>
        <w:rPr/>
        <w:t xml:space="preserve">  Each Party shall be responsible for the compensation of its representative of the MCAPG and for the reimbursement of any expenses incurred by the Party’s representative in the representative’s performance of his or her duties as a member of the MCAPG.  The MAIN representative to the NERC CAPG shall be reimbursed in accordance with MAIN Board Policy.</w:t>
      </w:r>
    </w:p>
    <w:p>
      <w:pPr>
        <w:pStyle w:val="BodyText"/>
        <w:tabs>
          <w:tab w:val="clear" w:pos="720"/>
          <w:tab w:val="left" w:pos="0" w:leader="none"/>
        </w:tabs>
        <w:ind w:hanging="360" w:start="360" w:end="0"/>
        <w:rPr/>
      </w:pPr>
      <w:r>
        <w:rPr/>
      </w:r>
    </w:p>
    <w:p>
      <w:pPr>
        <w:pStyle w:val="BodyText"/>
        <w:tabs>
          <w:tab w:val="clear" w:pos="720"/>
          <w:tab w:val="left" w:pos="0" w:leader="none"/>
        </w:tabs>
        <w:rPr/>
      </w:pPr>
      <w:r>
        <w:rPr/>
      </w:r>
    </w:p>
    <w:p>
      <w:pPr>
        <w:pStyle w:val="Heading7"/>
        <w:numPr>
          <w:ilvl w:val="2"/>
          <w:numId w:val="10"/>
        </w:numPr>
        <w:rPr/>
      </w:pPr>
      <w:r>
        <w:rPr/>
        <w:t>Reliability Standards and Obligations</w:t>
      </w:r>
    </w:p>
    <w:p>
      <w:pPr>
        <w:pStyle w:val="Normal"/>
        <w:rPr>
          <w:b/>
          <w:sz w:val="22"/>
        </w:rPr>
      </w:pPr>
      <w:r>
        <w:rPr>
          <w:b/>
          <w:sz w:val="22"/>
        </w:rPr>
      </w:r>
    </w:p>
    <w:p>
      <w:pPr>
        <w:pStyle w:val="Normal"/>
        <w:numPr>
          <w:ilvl w:val="0"/>
          <w:numId w:val="11"/>
        </w:numPr>
        <w:tabs>
          <w:tab w:val="clear" w:pos="720"/>
          <w:tab w:val="left" w:pos="360" w:leader="none"/>
        </w:tabs>
        <w:ind w:hanging="1080" w:start="1080" w:end="0"/>
        <w:rPr>
          <w:b/>
          <w:sz w:val="22"/>
        </w:rPr>
      </w:pPr>
      <w:r>
        <w:rPr>
          <w:b/>
          <w:sz w:val="22"/>
        </w:rPr>
        <w:t>Identification of Reliability Standards included in the program.</w:t>
      </w:r>
    </w:p>
    <w:p>
      <w:pPr>
        <w:pStyle w:val="Normal"/>
        <w:ind w:start="360" w:end="0"/>
        <w:rPr>
          <w:bCs/>
          <w:sz w:val="22"/>
        </w:rPr>
      </w:pPr>
      <w:r>
        <w:rPr>
          <w:bCs/>
          <w:sz w:val="22"/>
        </w:rPr>
        <w:t>The Reliability Standards are in Annex B of Exhibit 1.</w:t>
      </w:r>
    </w:p>
    <w:p>
      <w:pPr>
        <w:pStyle w:val="Normal"/>
        <w:ind w:start="360" w:end="0"/>
        <w:rPr>
          <w:bCs/>
          <w:sz w:val="22"/>
        </w:rPr>
      </w:pPr>
      <w:r>
        <w:rPr>
          <w:bCs/>
          <w:sz w:val="22"/>
        </w:rPr>
      </w:r>
    </w:p>
    <w:p>
      <w:pPr>
        <w:pStyle w:val="Normal"/>
        <w:numPr>
          <w:ilvl w:val="0"/>
          <w:numId w:val="11"/>
        </w:numPr>
        <w:tabs>
          <w:tab w:val="clear" w:pos="720"/>
        </w:tabs>
        <w:ind w:hanging="360" w:start="360" w:end="0"/>
        <w:rPr>
          <w:b/>
          <w:sz w:val="22"/>
        </w:rPr>
      </w:pPr>
      <w:r>
        <w:rPr>
          <w:b/>
          <w:sz w:val="22"/>
        </w:rPr>
        <w:t>Statement of obligation of entities to comply with Reliability Standards.</w:t>
      </w:r>
    </w:p>
    <w:p>
      <w:pPr>
        <w:pStyle w:val="Normal"/>
        <w:ind w:start="360" w:end="0"/>
        <w:rPr>
          <w:bCs/>
          <w:sz w:val="22"/>
        </w:rPr>
      </w:pPr>
      <w:r>
        <w:rPr>
          <w:bCs/>
          <w:sz w:val="22"/>
        </w:rPr>
        <w:t>Addressed in Section 3.01 of the MAIN Agreement.</w:t>
      </w:r>
    </w:p>
    <w:p>
      <w:pPr>
        <w:pStyle w:val="Normal"/>
        <w:ind w:start="360" w:end="0"/>
        <w:rPr>
          <w:bCs/>
          <w:sz w:val="22"/>
        </w:rPr>
      </w:pPr>
      <w:r>
        <w:rPr>
          <w:bCs/>
          <w:sz w:val="22"/>
        </w:rPr>
      </w:r>
    </w:p>
    <w:p>
      <w:pPr>
        <w:pStyle w:val="Normal"/>
        <w:numPr>
          <w:ilvl w:val="0"/>
          <w:numId w:val="11"/>
        </w:numPr>
        <w:tabs>
          <w:tab w:val="clear" w:pos="720"/>
          <w:tab w:val="left" w:pos="360" w:leader="none"/>
        </w:tabs>
        <w:ind w:hanging="1080" w:start="1080" w:end="0"/>
        <w:rPr>
          <w:b/>
          <w:sz w:val="22"/>
        </w:rPr>
      </w:pPr>
      <w:r>
        <w:rPr>
          <w:b/>
          <w:sz w:val="22"/>
        </w:rPr>
        <w:t>Statement of obligations of entities to collect and submit data on a timely basis.</w:t>
      </w:r>
    </w:p>
    <w:p>
      <w:pPr>
        <w:pStyle w:val="Normal"/>
        <w:ind w:start="360" w:end="0"/>
        <w:rPr>
          <w:bCs/>
          <w:sz w:val="22"/>
        </w:rPr>
      </w:pPr>
      <w:r>
        <w:rPr>
          <w:bCs/>
          <w:sz w:val="22"/>
        </w:rPr>
        <w:t>Addressed in Exhibit 2 of the MAIN Program document.</w:t>
      </w:r>
    </w:p>
    <w:p>
      <w:pPr>
        <w:pStyle w:val="Normal"/>
        <w:rPr>
          <w:b/>
          <w:bCs/>
          <w:sz w:val="22"/>
        </w:rPr>
      </w:pPr>
      <w:r>
        <w:rPr>
          <w:b/>
          <w:bCs/>
          <w:sz w:val="22"/>
        </w:rPr>
      </w:r>
    </w:p>
    <w:p>
      <w:pPr>
        <w:pStyle w:val="Normal"/>
        <w:rPr>
          <w:b/>
          <w:sz w:val="22"/>
        </w:rPr>
      </w:pPr>
      <w:r>
        <w:rPr>
          <w:b/>
          <w:sz w:val="22"/>
        </w:rPr>
        <w:t>IV.</w:t>
        <w:tab/>
        <w:t>Commitment to and Participation in Program</w:t>
        <w:tab/>
        <w:tab/>
        <w:tab/>
        <w:tab/>
      </w:r>
      <w:r>
        <mc:AlternateContent>
          <mc:Choice Requires="wps">
            <w:drawing>
              <wp:anchor behindDoc="0" distT="0" distB="0" distL="114935" distR="114935" simplePos="0" locked="0" layoutInCell="1" allowOverlap="1" relativeHeight="14">
                <wp:simplePos x="0" y="0"/>
                <wp:positionH relativeFrom="column">
                  <wp:posOffset>6309360</wp:posOffset>
                </wp:positionH>
                <wp:positionV relativeFrom="paragraph">
                  <wp:posOffset>99060</wp:posOffset>
                </wp:positionV>
                <wp:extent cx="914400" cy="239395"/>
                <wp:effectExtent l="0" t="0" r="0" b="0"/>
                <wp:wrapNone/>
                <wp:docPr id="1" name="Frame1"/>
                <a:graphic xmlns:a="http://schemas.openxmlformats.org/drawingml/2006/main">
                  <a:graphicData uri="http://schemas.microsoft.com/office/word/2010/wordprocessingShape">
                    <wps:wsp>
                      <wps:cNvSpPr txBox="1"/>
                      <wps:spPr>
                        <a:xfrm>
                          <a:off x="0" y="0"/>
                          <a:ext cx="914400" cy="239395"/>
                        </a:xfrm>
                        <a:prstGeom prst="rect"/>
                        <a:solidFill>
                          <a:srgbClr val="FFFFFF">
                            <a:alpha val="0"/>
                          </a:srgbClr>
                        </a:solidFill>
                      </wps:spPr>
                      <wps:txbx>
                        <w:txbxContent>
                          <w:p>
                            <w:pPr>
                              <w:pStyle w:val="Normal"/>
                              <w:rPr/>
                            </w:pPr>
                            <w:r>
                              <w:rPr/>
                            </w:r>
                          </w:p>
                        </w:txbxContent>
                      </wps:txbx>
                      <wps:bodyPr anchor="t" lIns="92075" tIns="46355" rIns="92075" bIns="46355">
                        <a:spAutoFit/>
                      </wps:bodyPr>
                    </wps:wsp>
                  </a:graphicData>
                </a:graphic>
              </wp:anchor>
            </w:drawing>
          </mc:Choice>
          <mc:Fallback>
            <w:pict>
              <v:rect fillcolor="#FFFFFF" style="position:absolute;rotation:-0;width:72pt;height:18.85pt;mso-wrap-distance-left:9.05pt;mso-wrap-distance-right:9.05pt;mso-wrap-distance-top:0pt;mso-wrap-distance-bottom:0pt;margin-top:7.8pt;mso-position-vertical-relative:text;margin-left:496.8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p>
    <w:p>
      <w:pPr>
        <w:pStyle w:val="Normal"/>
        <w:rPr>
          <w:b/>
          <w:sz w:val="22"/>
        </w:rPr>
      </w:pPr>
      <w:r>
        <w:rPr>
          <w:b/>
          <w:sz w:val="22"/>
        </w:rPr>
      </w:r>
    </w:p>
    <w:p>
      <w:pPr>
        <w:pStyle w:val="BodyText"/>
        <w:ind w:hanging="360" w:start="360" w:end="0"/>
        <w:rPr/>
      </w:pPr>
      <w:r>
        <w:rPr/>
        <w:t>a.</w:t>
        <w:tab/>
        <w:t xml:space="preserve">Parties are committed to participate in the program under the provisions of the MAIN Agreement.  Parties also agree to extend, as practical and applicable, the obligations of the MAIN Program to non-participants in the program by making reasonable efforts to obtain commitments for such compliance in their contracts and tariffs with third parties.  A Party’s obligation under the program becomes effective on the date on which the MAIN Agreement becomes effective. </w:t>
      </w:r>
    </w:p>
    <w:p>
      <w:pPr>
        <w:pStyle w:val="Normal"/>
        <w:rPr>
          <w:b/>
          <w:sz w:val="22"/>
        </w:rPr>
      </w:pPr>
      <w:r>
        <w:rPr>
          <w:b/>
          <w:sz w:val="22"/>
        </w:rPr>
        <w:br/>
      </w:r>
    </w:p>
    <w:p>
      <w:pPr>
        <w:pStyle w:val="Normal"/>
        <w:rPr>
          <w:sz w:val="22"/>
        </w:rPr>
      </w:pPr>
      <w:r>
        <w:rPr>
          <w:b/>
          <w:sz w:val="22"/>
        </w:rPr>
        <w:t>V.</w:t>
        <w:tab/>
        <w:t>Confidentiality of Data</w:t>
      </w:r>
    </w:p>
    <w:p>
      <w:pPr>
        <w:pStyle w:val="Normal"/>
        <w:rPr>
          <w:b/>
          <w:sz w:val="22"/>
        </w:rPr>
      </w:pPr>
      <w:r>
        <w:rPr>
          <w:b/>
          <w:sz w:val="22"/>
        </w:rPr>
      </w:r>
    </w:p>
    <w:p>
      <w:pPr>
        <w:pStyle w:val="BodyTextIndent"/>
        <w:ind w:hanging="360" w:start="360" w:end="0"/>
        <w:rPr/>
      </w:pPr>
      <w:r>
        <w:rPr/>
        <w:t>a.</w:t>
        <w:tab/>
        <w:t>Except as otherwise expressly provided in a Designated Reliability Standard, or as provided in Section 5.03(b) and Section 5.03(c) of the NERC Agreement, all data submitted to MAIN by a Party in accordance with MAIN’s compliance and enforcement procedures shall be treated as confidential data by MAIN, and shall not be disclosed to any third party without the prior written consent of the Party.</w:t>
      </w:r>
    </w:p>
    <w:p>
      <w:pPr>
        <w:pStyle w:val="BodyTextIndent"/>
        <w:ind w:start="0" w:end="0"/>
        <w:rPr/>
      </w:pPr>
      <w:r>
        <w:rPr/>
      </w:r>
    </w:p>
    <w:p>
      <w:pPr>
        <w:pStyle w:val="BodyTextIndent"/>
        <w:ind w:hanging="360" w:start="360" w:end="0"/>
        <w:rPr/>
      </w:pPr>
      <w:r>
        <w:rPr/>
        <w:t>b.</w:t>
        <w:tab/>
        <w:t>Parties shall comply with, collect, and submit data required by each Designated Reliability Standard in accordance with the applicable schedules and frequencies specified in each Designated Reliability Standard.</w:t>
      </w:r>
    </w:p>
    <w:p>
      <w:pPr>
        <w:pStyle w:val="BodyTextIndent"/>
        <w:rPr/>
      </w:pPr>
      <w:r>
        <w:rPr/>
      </w:r>
    </w:p>
    <w:p>
      <w:pPr>
        <w:pStyle w:val="BodyTextIndent"/>
        <w:ind w:hanging="360" w:start="360" w:end="0"/>
        <w:rPr/>
      </w:pPr>
      <w:r>
        <w:rPr/>
        <w:t>c.</w:t>
        <w:tab/>
        <w:t>MAIN shall provide data submitted by a Party in accordance with MAIN’s compliance and enforcement procedures to NERC, as requested by the NERC Director of Compliance, in order to assess the effectiveness of the MAIN Program.</w:t>
      </w:r>
    </w:p>
    <w:p>
      <w:pPr>
        <w:pStyle w:val="BodyTextIndent"/>
        <w:ind w:hanging="360" w:start="360" w:end="0"/>
        <w:rPr/>
      </w:pPr>
      <w:r>
        <w:rPr/>
        <w:t>d.</w:t>
        <w:tab/>
        <w:t>Nothing in the MAIN Agreement or Section 5.03(a) of the NERC Agreement shall be deemed to prohibit MAIN from notifying or disclosing to the MAIN Board of Directors, MAIN Compliance Agreement Participants Group (MCAPG), NERC Board of Trustees, the Reliability Regional Council (RRC), Governing Body of any other RRC, a state regulatory authority or Canadian or Mexican regulatory authority having jurisdiction over the Party, the chief executive (or his or her designee) or the legislative body (or a member or committee or subcommittee thereof) of any unit of government in which the Party resides or does business, or FERC the following:</w:t>
      </w:r>
    </w:p>
    <w:p>
      <w:pPr>
        <w:pStyle w:val="BodyTextIndent"/>
        <w:rPr/>
      </w:pPr>
      <w:r>
        <w:rPr/>
      </w:r>
    </w:p>
    <w:p>
      <w:pPr>
        <w:pStyle w:val="BodyTextIndent"/>
        <w:numPr>
          <w:ilvl w:val="0"/>
          <w:numId w:val="8"/>
        </w:numPr>
        <w:tabs>
          <w:tab w:val="clear" w:pos="720"/>
          <w:tab w:val="left" w:pos="1080" w:leader="none"/>
          <w:tab w:val="left" w:pos="1800" w:leader="none"/>
        </w:tabs>
        <w:ind w:hanging="360" w:start="1080" w:end="0"/>
        <w:rPr/>
      </w:pPr>
      <w:r>
        <w:rPr/>
        <w:t>Whether the Party has been determined to have been in non-compliance with a Designated Reliability Standard,</w:t>
      </w:r>
    </w:p>
    <w:p>
      <w:pPr>
        <w:pStyle w:val="BodyTextIndent"/>
        <w:tabs>
          <w:tab w:val="clear" w:pos="720"/>
          <w:tab w:val="left" w:pos="1800" w:leader="none"/>
        </w:tabs>
        <w:rPr/>
      </w:pPr>
      <w:r>
        <w:rPr/>
      </w:r>
    </w:p>
    <w:p>
      <w:pPr>
        <w:pStyle w:val="BodyTextIndent"/>
        <w:numPr>
          <w:ilvl w:val="0"/>
          <w:numId w:val="12"/>
        </w:numPr>
        <w:tabs>
          <w:tab w:val="clear" w:pos="720"/>
          <w:tab w:val="left" w:pos="1080" w:leader="none"/>
        </w:tabs>
        <w:ind w:hanging="360" w:start="1080" w:end="0"/>
        <w:rPr/>
      </w:pPr>
      <w:r>
        <w:rPr/>
        <w:t>The Designated Reliability Standard as to which the non-compliance occurred,</w:t>
      </w:r>
    </w:p>
    <w:p>
      <w:pPr>
        <w:pStyle w:val="BodyTextIndent"/>
        <w:rPr/>
      </w:pPr>
      <w:r>
        <w:rPr/>
      </w:r>
    </w:p>
    <w:p>
      <w:pPr>
        <w:pStyle w:val="BodyTextIndent"/>
        <w:numPr>
          <w:ilvl w:val="0"/>
          <w:numId w:val="2"/>
        </w:numPr>
        <w:tabs>
          <w:tab w:val="clear" w:pos="720"/>
          <w:tab w:val="left" w:pos="1080" w:leader="none"/>
        </w:tabs>
        <w:ind w:hanging="360" w:start="1080" w:end="0"/>
        <w:rPr/>
      </w:pPr>
      <w:r>
        <w:rPr/>
        <w:t>The severity and/or frequency of the non-compliance, and</w:t>
      </w:r>
    </w:p>
    <w:p>
      <w:pPr>
        <w:pStyle w:val="BodyTextIndent"/>
        <w:rPr/>
      </w:pPr>
      <w:r>
        <w:rPr/>
      </w:r>
    </w:p>
    <w:p>
      <w:pPr>
        <w:pStyle w:val="BodyTextIndent"/>
        <w:numPr>
          <w:ilvl w:val="0"/>
          <w:numId w:val="6"/>
        </w:numPr>
        <w:tabs>
          <w:tab w:val="clear" w:pos="720"/>
          <w:tab w:val="left" w:pos="1080" w:leader="none"/>
        </w:tabs>
        <w:ind w:hanging="360" w:start="1080" w:end="0"/>
        <w:rPr/>
      </w:pPr>
      <w:r>
        <w:rPr/>
        <w:t>The type and amount or extent of the sanction, if any, imposed on the Party for such non-compliance.</w:t>
      </w:r>
    </w:p>
    <w:p>
      <w:pPr>
        <w:pStyle w:val="BodyTextIndent"/>
        <w:rPr/>
      </w:pPr>
      <w:r>
        <w:rPr/>
      </w:r>
    </w:p>
    <w:p>
      <w:pPr>
        <w:pStyle w:val="BodyTextIndent"/>
        <w:ind w:start="1080" w:end="0"/>
        <w:rPr/>
      </w:pPr>
      <w:r>
        <w:rPr/>
        <w:t>A copy of any such notification or disclosure shall be provided to the Party.</w:t>
      </w:r>
    </w:p>
    <w:p>
      <w:pPr>
        <w:pStyle w:val="BodyTextIndent"/>
        <w:rPr/>
      </w:pPr>
      <w:r>
        <w:rPr/>
      </w:r>
    </w:p>
    <w:p>
      <w:pPr>
        <w:pStyle w:val="BodyTextIndent"/>
        <w:ind w:hanging="360" w:start="360" w:end="0"/>
        <w:rPr/>
      </w:pPr>
      <w:r>
        <w:rPr/>
        <w:t>e.</w:t>
        <w:tab/>
        <w:t>Nothing in the MAIN Agreement or Section 5.03(a) of the NERC Agreement shall be deemed to prohibit MAIN, the MCAPG, the NERC Compliance Agreement Participants Group (CAPG) or NERC, from making publicly available aggregate data, statistics or information, concerning implementation of the MAIN Program or implementation of or compliance with a Designated Reliability Standard or Standards, on a basis which does not permit the identification of data submitted by an individual Party.  Such publicly available information may include:</w:t>
      </w:r>
    </w:p>
    <w:p>
      <w:pPr>
        <w:pStyle w:val="BodyTextIndent"/>
        <w:rPr/>
      </w:pPr>
      <w:r>
        <w:rPr/>
      </w:r>
    </w:p>
    <w:p>
      <w:pPr>
        <w:pStyle w:val="BodyTextIndent"/>
        <w:numPr>
          <w:ilvl w:val="0"/>
          <w:numId w:val="8"/>
        </w:numPr>
        <w:tabs>
          <w:tab w:val="clear" w:pos="720"/>
          <w:tab w:val="left" w:pos="1080" w:leader="none"/>
          <w:tab w:val="left" w:pos="1800" w:leader="none"/>
        </w:tabs>
        <w:ind w:hanging="360" w:start="1080" w:end="0"/>
        <w:rPr/>
      </w:pPr>
      <w:r>
        <w:rPr/>
        <w:t>Whether the Party has been determined to have been in non-compliance with a Designated Reliability Standard,</w:t>
      </w:r>
    </w:p>
    <w:p>
      <w:pPr>
        <w:pStyle w:val="BodyTextIndent"/>
        <w:tabs>
          <w:tab w:val="clear" w:pos="720"/>
          <w:tab w:val="left" w:pos="1800" w:leader="none"/>
        </w:tabs>
        <w:rPr/>
      </w:pPr>
      <w:r>
        <w:rPr/>
      </w:r>
    </w:p>
    <w:p>
      <w:pPr>
        <w:pStyle w:val="BodyTextIndent"/>
        <w:numPr>
          <w:ilvl w:val="0"/>
          <w:numId w:val="12"/>
        </w:numPr>
        <w:tabs>
          <w:tab w:val="clear" w:pos="720"/>
          <w:tab w:val="left" w:pos="1080" w:leader="none"/>
        </w:tabs>
        <w:ind w:hanging="360" w:start="1080" w:end="0"/>
        <w:rPr/>
      </w:pPr>
      <w:r>
        <w:rPr/>
        <w:t>The Designated Reliability Standard as to which the non-compliance occurred,</w:t>
      </w:r>
    </w:p>
    <w:p>
      <w:pPr>
        <w:pStyle w:val="BodyTextIndent"/>
        <w:rPr/>
      </w:pPr>
      <w:r>
        <w:rPr/>
      </w:r>
    </w:p>
    <w:p>
      <w:pPr>
        <w:pStyle w:val="BodyTextIndent"/>
        <w:numPr>
          <w:ilvl w:val="0"/>
          <w:numId w:val="2"/>
        </w:numPr>
        <w:tabs>
          <w:tab w:val="clear" w:pos="720"/>
          <w:tab w:val="left" w:pos="1080" w:leader="none"/>
        </w:tabs>
        <w:ind w:hanging="360" w:start="1080" w:end="0"/>
        <w:rPr/>
      </w:pPr>
      <w:r>
        <w:rPr/>
        <w:t>The severity and/or frequency of the non-compliance, and</w:t>
      </w:r>
    </w:p>
    <w:p>
      <w:pPr>
        <w:pStyle w:val="BodyTextIndent"/>
        <w:rPr/>
      </w:pPr>
      <w:r>
        <w:rPr/>
      </w:r>
    </w:p>
    <w:p>
      <w:pPr>
        <w:pStyle w:val="BodyTextIndent"/>
        <w:numPr>
          <w:ilvl w:val="0"/>
          <w:numId w:val="6"/>
        </w:numPr>
        <w:tabs>
          <w:tab w:val="clear" w:pos="720"/>
          <w:tab w:val="left" w:pos="1080" w:leader="none"/>
        </w:tabs>
        <w:ind w:hanging="360" w:start="1080" w:end="0"/>
        <w:rPr/>
      </w:pPr>
      <w:r>
        <w:rPr/>
        <w:t>The type and amount or extent of the sanction, if any, imposed on the Party for such non-compliance.</w:t>
      </w:r>
    </w:p>
    <w:p>
      <w:pPr>
        <w:pStyle w:val="BodyTextIndent"/>
        <w:rPr/>
      </w:pPr>
      <w:r>
        <w:rPr/>
      </w:r>
    </w:p>
    <w:p>
      <w:pPr>
        <w:pStyle w:val="BodyTextIndent"/>
        <w:ind w:start="1080" w:end="0"/>
        <w:rPr/>
      </w:pPr>
      <w:r>
        <w:rPr/>
        <w:t>A copy of any such notification or disclosure shall be provided to the Party.</w:t>
      </w:r>
    </w:p>
    <w:p>
      <w:pPr>
        <w:pStyle w:val="BodyTextIndent"/>
        <w:rPr/>
      </w:pPr>
      <w:r>
        <w:rPr/>
      </w:r>
    </w:p>
    <w:p>
      <w:pPr>
        <w:pStyle w:val="BodyTextIndent"/>
        <w:ind w:hanging="360" w:start="360" w:end="0"/>
        <w:rPr/>
      </w:pPr>
      <w:r>
        <w:rPr/>
        <w:t>f.</w:t>
        <w:tab/>
        <w:t>If MAIN is requested or required, by subpoena, oral deposition, interrogatory, request for production of documents, administrative order, or other legal or regulatory process, to disclose any data of a Party that was submitted to MAIN in accordance with MAIN’s Program procedures, MAIN shall immediately notify the Party, in writing, of the request or requirement so that the Party may, if it so chooses and at its own expense, challenge the request or requirement for disclosure or seek an appropriate protective order.  MAIN shall reasonably cooperate, at the Party’s expense, with any efforts by the Party to limit or avoid disclosure of the requested data, or to obtain an appropriate protective order or otherwise preserve the confidentiality of any data that is ultimately required to be disclosed.</w:t>
      </w:r>
    </w:p>
    <w:p>
      <w:pPr>
        <w:pStyle w:val="BodyTextIndent"/>
        <w:tabs>
          <w:tab w:val="clear" w:pos="720"/>
          <w:tab w:val="left" w:pos="0" w:leader="none"/>
        </w:tabs>
        <w:ind w:hanging="360" w:start="360" w:end="0"/>
        <w:rPr/>
      </w:pPr>
      <w:r>
        <w:rPr/>
        <w:t>g.</w:t>
        <w:tab/>
        <w:t>Data is to be submitted either electronically or by hard copy to the MAIN Compliance Staff, at the MAIN office, on or before the end of the date specified by the Designated Reliability Standard.  In the event that the MAIN Compliance Staff does not receive a complete report by the due date and no mitigation plan was presented and accepted, a letter or letters will be sent to the non-compliance Party.  The following levels of non-compliance shall apply for data lateness:</w:t>
      </w:r>
    </w:p>
    <w:p>
      <w:pPr>
        <w:pStyle w:val="BodyTextIndent"/>
        <w:rPr/>
      </w:pPr>
      <w:r>
        <w:rPr/>
      </w:r>
    </w:p>
    <w:p>
      <w:pPr>
        <w:pStyle w:val="BodyTextIndent"/>
        <w:rPr/>
      </w:pPr>
      <w:r>
        <w:rPr/>
        <w:tab/>
      </w:r>
      <w:r>
        <w:rPr>
          <w:b/>
        </w:rPr>
        <w:t>Level 1</w:t>
      </w:r>
      <w:r>
        <w:rPr/>
        <w:tab/>
        <w:t>After due date.</w:t>
      </w:r>
    </w:p>
    <w:p>
      <w:pPr>
        <w:pStyle w:val="BodyTextIndent"/>
        <w:rPr/>
      </w:pPr>
      <w:r>
        <w:rPr/>
        <w:tab/>
      </w:r>
      <w:r>
        <w:rPr>
          <w:b/>
        </w:rPr>
        <w:t>Level 2</w:t>
      </w:r>
      <w:r>
        <w:rPr/>
        <w:tab/>
        <w:t>After one week following the due date.</w:t>
      </w:r>
    </w:p>
    <w:p>
      <w:pPr>
        <w:pStyle w:val="BodyTextIndent"/>
        <w:rPr/>
      </w:pPr>
      <w:r>
        <w:rPr/>
        <w:tab/>
      </w:r>
      <w:r>
        <w:rPr>
          <w:b/>
        </w:rPr>
        <w:t>Level 3</w:t>
      </w:r>
      <w:r>
        <w:rPr/>
        <w:tab/>
        <w:t>After two weeks following the due date.</w:t>
      </w:r>
    </w:p>
    <w:p>
      <w:pPr>
        <w:pStyle w:val="BodyTextIndent"/>
        <w:ind w:start="1440" w:end="0"/>
        <w:rPr/>
      </w:pPr>
      <w:r>
        <w:rPr>
          <w:b/>
        </w:rPr>
        <w:t>Level 4</w:t>
      </w:r>
      <w:r>
        <w:rPr/>
        <w:t xml:space="preserve"> After three weeks following the due date or respondent says they cannot or will not submit report.</w:t>
      </w:r>
    </w:p>
    <w:p>
      <w:pPr>
        <w:pStyle w:val="Normal"/>
        <w:ind w:start="720" w:end="0"/>
        <w:rPr>
          <w:sz w:val="22"/>
        </w:rPr>
      </w:pPr>
      <w:r>
        <w:rPr>
          <w:sz w:val="22"/>
        </w:rPr>
      </w:r>
    </w:p>
    <w:p>
      <w:pPr>
        <w:pStyle w:val="Normal"/>
        <w:ind w:start="360" w:end="0"/>
        <w:rPr>
          <w:sz w:val="22"/>
        </w:rPr>
      </w:pPr>
      <w:r>
        <w:rPr>
          <w:sz w:val="22"/>
        </w:rPr>
        <w:t>The letter or letters notifying a Party of non-compliance shall be sent to the persons identified in Section VII.</w:t>
      </w:r>
    </w:p>
    <w:p>
      <w:pPr>
        <w:pStyle w:val="Normal"/>
        <w:rPr>
          <w:b/>
          <w:sz w:val="22"/>
        </w:rPr>
      </w:pPr>
      <w:r>
        <w:rPr>
          <w:b/>
          <w:sz w:val="22"/>
        </w:rPr>
      </w:r>
    </w:p>
    <w:p>
      <w:pPr>
        <w:pStyle w:val="Normal"/>
        <w:rPr>
          <w:b/>
          <w:sz w:val="22"/>
        </w:rPr>
      </w:pPr>
      <w:r>
        <w:rPr>
          <w:b/>
          <w:sz w:val="22"/>
        </w:rPr>
        <w:t>VI.</w:t>
        <w:tab/>
        <w:t>Determining Compliance or Non-Compliance</w:t>
      </w:r>
    </w:p>
    <w:p>
      <w:pPr>
        <w:pStyle w:val="BodyTextIndent"/>
        <w:rPr>
          <w:b/>
          <w:sz w:val="22"/>
        </w:rPr>
      </w:pPr>
      <w:r>
        <w:rPr>
          <w:b/>
          <w:sz w:val="22"/>
        </w:rPr>
      </w:r>
    </w:p>
    <w:p>
      <w:pPr>
        <w:pStyle w:val="BodyTextIndent"/>
        <w:numPr>
          <w:ilvl w:val="0"/>
          <w:numId w:val="5"/>
        </w:numPr>
        <w:tabs>
          <w:tab w:val="clear" w:pos="720"/>
          <w:tab w:val="left" w:pos="360" w:leader="none"/>
        </w:tabs>
        <w:ind w:hanging="360" w:start="360" w:end="0"/>
        <w:rPr/>
      </w:pPr>
      <w:r>
        <w:rPr/>
        <w:t>The process for monitoring compliance with the Reliability Standards and any enforcement actions, if required, will be carried out by the MAIN staff, under the direction of the MAIN Director of Compliance with oversight by the MCAPG.  The procedures followed by the MAIN staff to monitor compliance, determine non-compliance, and to propose sanctions shall be approved by the MCAPG.  If a dispute arises or the MCAPG determines that a Party is not meeting its obligations under the MAIN Agreement to comply with the Reliability Standards, the procedures of Section 5.02 of the MAIN Agreement shall apply.</w:t>
      </w:r>
    </w:p>
    <w:p>
      <w:pPr>
        <w:pStyle w:val="BodyTextIndent"/>
        <w:rPr/>
      </w:pPr>
      <w:r>
        <w:rPr/>
      </w:r>
    </w:p>
    <w:p>
      <w:pPr>
        <w:pStyle w:val="BodyText"/>
        <w:rPr>
          <w:b/>
        </w:rPr>
      </w:pPr>
      <w:r>
        <w:rPr>
          <w:b/>
        </w:rPr>
      </w:r>
    </w:p>
    <w:p>
      <w:pPr>
        <w:pStyle w:val="BodyText"/>
        <w:rPr>
          <w:b/>
        </w:rPr>
      </w:pPr>
      <w:r>
        <w:rPr>
          <w:b/>
        </w:rPr>
        <w:t>VII.</w:t>
        <w:tab/>
        <w:t>Sanctions</w:t>
      </w:r>
    </w:p>
    <w:p>
      <w:pPr>
        <w:pStyle w:val="Normal"/>
        <w:rPr>
          <w:b/>
          <w:sz w:val="22"/>
        </w:rPr>
      </w:pPr>
      <w:r>
        <w:rPr>
          <w:b/>
          <w:sz w:val="22"/>
        </w:rPr>
      </w:r>
    </w:p>
    <w:p>
      <w:pPr>
        <w:pStyle w:val="BodyText"/>
        <w:ind w:hanging="360" w:start="360" w:end="0"/>
        <w:rPr/>
      </w:pPr>
      <w:r>
        <w:rPr/>
        <w:t>a.</w:t>
        <w:tab/>
        <w:t xml:space="preserve">Any items identified to be in non-compliance, by the MAIN Compliance Staff, will be brought forward to the MCAPG for review.  The MCAPG after reviewing compliance based on staff findings, and considering any mitigating circumstances, determines whether any financial penalty or sanction for non-compliance should be assessed such upon the Party. </w:t>
      </w:r>
    </w:p>
    <w:p>
      <w:pPr>
        <w:pStyle w:val="Normal"/>
        <w:ind w:start="720" w:end="0"/>
        <w:rPr>
          <w:sz w:val="22"/>
        </w:rPr>
      </w:pPr>
      <w:r>
        <w:rPr>
          <w:sz w:val="22"/>
        </w:rPr>
      </w:r>
    </w:p>
    <w:p>
      <w:pPr>
        <w:pStyle w:val="Normal"/>
        <w:ind w:hanging="360" w:start="360" w:end="0"/>
        <w:rPr>
          <w:sz w:val="22"/>
        </w:rPr>
      </w:pPr>
      <w:r>
        <w:rPr>
          <w:sz w:val="22"/>
        </w:rPr>
        <w:t>b.</w:t>
        <w:tab/>
        <w:t xml:space="preserve">Financial penalties, if applicable, will be levied by the MCAPG on a Party who is determined to be non-compliant.  Financial penalties for non-compliance will be payable to MAIN and used to defray costs of the MAIN Program as determined by the MAIN Board of Directors. </w:t>
      </w:r>
    </w:p>
    <w:p>
      <w:pPr>
        <w:pStyle w:val="Normal"/>
        <w:ind w:start="720" w:end="0"/>
        <w:rPr>
          <w:sz w:val="22"/>
        </w:rPr>
      </w:pPr>
      <w:r>
        <w:rPr>
          <w:sz w:val="22"/>
        </w:rPr>
      </w:r>
    </w:p>
    <w:p>
      <w:pPr>
        <w:pStyle w:val="BodyText"/>
        <w:ind w:hanging="360" w:start="360" w:end="0"/>
        <w:rPr/>
      </w:pPr>
      <w:r>
        <w:rPr/>
        <w:t>c.</w:t>
        <w:tab/>
        <w:t>Acceptance of financial penalty or sanction by Party does not condone continued non-compliance nor does it preclude any further additional sanctions for the same additional non-compliance.  In other words, accepting the sanction does not give the Party (found in violation) permission to continue its non-compliance.</w:t>
      </w:r>
    </w:p>
    <w:p>
      <w:pPr>
        <w:pStyle w:val="BodyText"/>
        <w:ind w:hanging="360" w:start="360" w:end="0"/>
        <w:rPr/>
      </w:pPr>
      <w:r>
        <w:rPr/>
      </w:r>
    </w:p>
    <w:p>
      <w:pPr>
        <w:pStyle w:val="BodyText"/>
        <w:numPr>
          <w:ilvl w:val="0"/>
          <w:numId w:val="11"/>
        </w:numPr>
        <w:tabs>
          <w:tab w:val="clear" w:pos="720"/>
          <w:tab w:val="left" w:pos="360" w:leader="none"/>
        </w:tabs>
        <w:ind w:hanging="360" w:start="360" w:end="0"/>
        <w:rPr/>
      </w:pPr>
      <w:r>
        <w:rPr/>
        <w:t>The sanctions for the NERC Designated Reliability Standards are shown in Annex B of the NERC Agreement.</w:t>
      </w:r>
    </w:p>
    <w:p>
      <w:pPr>
        <w:pStyle w:val="BodyText"/>
        <w:rPr/>
      </w:pPr>
      <w:r>
        <w:rPr/>
      </w:r>
      <w:r>
        <w:br w:type="page"/>
      </w:r>
    </w:p>
    <w:p>
      <w:pPr>
        <w:pStyle w:val="BodyText"/>
        <w:numPr>
          <w:ilvl w:val="0"/>
          <w:numId w:val="11"/>
        </w:numPr>
        <w:tabs>
          <w:tab w:val="clear" w:pos="720"/>
          <w:tab w:val="left" w:pos="360" w:leader="none"/>
        </w:tabs>
        <w:ind w:hanging="360" w:start="360" w:end="0"/>
        <w:rPr/>
      </w:pPr>
      <w:r>
        <w:rPr/>
        <w:t>The sanctions for data submittal lateness will consist of a letter or letters to the non-compliant Party and will be based upon the following table:</w:t>
      </w:r>
    </w:p>
    <w:p>
      <w:pPr>
        <w:pStyle w:val="BodyText"/>
        <w:rPr/>
      </w:pPr>
      <w:r>
        <w:rPr/>
      </w:r>
    </w:p>
    <w:p>
      <w:pPr>
        <w:pStyle w:val="BodyText"/>
        <w:rPr/>
      </w:pPr>
      <w:r>
        <w:rPr/>
      </w:r>
    </w:p>
    <w:tbl>
      <w:tblPr>
        <w:tblW w:w="8856" w:type="dxa"/>
        <w:jc w:val="start"/>
        <w:tblInd w:w="0" w:type="dxa"/>
        <w:tblLayout w:type="fixed"/>
        <w:tblCellMar>
          <w:top w:w="0" w:type="dxa"/>
          <w:start w:w="108" w:type="dxa"/>
          <w:bottom w:w="0" w:type="dxa"/>
          <w:end w:w="108" w:type="dxa"/>
        </w:tblCellMar>
      </w:tblPr>
      <w:tblGrid>
        <w:gridCol w:w="1771"/>
        <w:gridCol w:w="1771"/>
        <w:gridCol w:w="1771"/>
        <w:gridCol w:w="1771"/>
        <w:gridCol w:w="1772"/>
      </w:tblGrid>
      <w:tr>
        <w:trPr/>
        <w:tc>
          <w:tcPr>
            <w:tcW w:w="1771" w:type="dxa"/>
            <w:tcBorders>
              <w:bottom w:val="single" w:sz="4" w:space="0" w:color="000000"/>
              <w:end w:val="single" w:sz="4" w:space="0" w:color="000000"/>
            </w:tcBorders>
          </w:tcPr>
          <w:p>
            <w:pPr>
              <w:pStyle w:val="BodyText"/>
              <w:snapToGrid w:val="false"/>
              <w:rPr/>
            </w:pPr>
            <w:r>
              <w:rPr/>
            </w:r>
          </w:p>
        </w:tc>
        <w:tc>
          <w:tcPr>
            <w:tcW w:w="7085" w:type="dxa"/>
            <w:gridSpan w:val="4"/>
            <w:tcBorders>
              <w:top w:val="single" w:sz="4" w:space="0" w:color="000000"/>
              <w:start w:val="single" w:sz="4" w:space="0" w:color="000000"/>
              <w:bottom w:val="single" w:sz="4" w:space="0" w:color="000000"/>
              <w:end w:val="single" w:sz="4" w:space="0" w:color="000000"/>
            </w:tcBorders>
          </w:tcPr>
          <w:p>
            <w:pPr>
              <w:pStyle w:val="BodyText"/>
              <w:jc w:val="center"/>
              <w:rPr>
                <w:b/>
                <w:bCs/>
              </w:rPr>
            </w:pPr>
            <w:r>
              <w:rPr>
                <w:b/>
                <w:bCs/>
              </w:rPr>
              <w:t>Occurrence</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
              <w:jc w:val="center"/>
              <w:rPr>
                <w:b/>
                <w:bCs/>
              </w:rPr>
            </w:pPr>
            <w:r>
              <w:rPr>
                <w:b/>
                <w:bCs/>
              </w:rPr>
              <w:t>Level of Non-Compliance</w:t>
            </w:r>
          </w:p>
        </w:tc>
        <w:tc>
          <w:tcPr>
            <w:tcW w:w="1771" w:type="dxa"/>
            <w:tcBorders>
              <w:top w:val="single" w:sz="4" w:space="0" w:color="000000"/>
              <w:start w:val="single" w:sz="4" w:space="0" w:color="000000"/>
              <w:bottom w:val="single" w:sz="4" w:space="0" w:color="000000"/>
              <w:end w:val="single" w:sz="4" w:space="0" w:color="000000"/>
            </w:tcBorders>
          </w:tcPr>
          <w:p>
            <w:pPr>
              <w:pStyle w:val="BodyText"/>
              <w:jc w:val="center"/>
              <w:rPr>
                <w:b/>
                <w:bCs/>
              </w:rPr>
            </w:pPr>
            <w:r>
              <w:rPr>
                <w:b/>
                <w:bCs/>
              </w:rPr>
              <w:t>1</w:t>
            </w:r>
            <w:r>
              <w:rPr>
                <w:b/>
                <w:bCs/>
                <w:vertAlign w:val="superscript"/>
              </w:rPr>
              <w:t>st</w:t>
            </w:r>
          </w:p>
        </w:tc>
        <w:tc>
          <w:tcPr>
            <w:tcW w:w="1771" w:type="dxa"/>
            <w:tcBorders>
              <w:top w:val="single" w:sz="4" w:space="0" w:color="000000"/>
              <w:start w:val="single" w:sz="4" w:space="0" w:color="000000"/>
              <w:bottom w:val="single" w:sz="4" w:space="0" w:color="000000"/>
              <w:end w:val="single" w:sz="4" w:space="0" w:color="000000"/>
            </w:tcBorders>
          </w:tcPr>
          <w:p>
            <w:pPr>
              <w:pStyle w:val="BodyText"/>
              <w:jc w:val="center"/>
              <w:rPr>
                <w:b/>
                <w:bCs/>
              </w:rPr>
            </w:pPr>
            <w:r>
              <w:rPr>
                <w:b/>
                <w:bCs/>
              </w:rPr>
              <w:t>2</w:t>
            </w:r>
            <w:r>
              <w:rPr>
                <w:b/>
                <w:bCs/>
                <w:vertAlign w:val="superscript"/>
              </w:rPr>
              <w:t>nd</w:t>
            </w:r>
          </w:p>
        </w:tc>
        <w:tc>
          <w:tcPr>
            <w:tcW w:w="1771" w:type="dxa"/>
            <w:tcBorders>
              <w:top w:val="single" w:sz="4" w:space="0" w:color="000000"/>
              <w:start w:val="single" w:sz="4" w:space="0" w:color="000000"/>
              <w:bottom w:val="single" w:sz="4" w:space="0" w:color="000000"/>
              <w:end w:val="single" w:sz="4" w:space="0" w:color="000000"/>
            </w:tcBorders>
          </w:tcPr>
          <w:p>
            <w:pPr>
              <w:pStyle w:val="BodyText"/>
              <w:jc w:val="center"/>
              <w:rPr>
                <w:b/>
                <w:bCs/>
              </w:rPr>
            </w:pPr>
            <w:r>
              <w:rPr>
                <w:b/>
                <w:bCs/>
              </w:rPr>
              <w:t>3</w:t>
            </w:r>
            <w:r>
              <w:rPr>
                <w:b/>
                <w:bCs/>
                <w:vertAlign w:val="superscript"/>
              </w:rPr>
              <w:t>rd</w:t>
            </w:r>
          </w:p>
        </w:tc>
        <w:tc>
          <w:tcPr>
            <w:tcW w:w="1772" w:type="dxa"/>
            <w:tcBorders>
              <w:top w:val="single" w:sz="4" w:space="0" w:color="000000"/>
              <w:start w:val="single" w:sz="4" w:space="0" w:color="000000"/>
              <w:bottom w:val="single" w:sz="4" w:space="0" w:color="000000"/>
              <w:end w:val="single" w:sz="4" w:space="0" w:color="000000"/>
            </w:tcBorders>
          </w:tcPr>
          <w:p>
            <w:pPr>
              <w:pStyle w:val="BodyText"/>
              <w:jc w:val="center"/>
              <w:rPr>
                <w:b/>
                <w:bCs/>
              </w:rPr>
            </w:pPr>
            <w:r>
              <w:rPr>
                <w:b/>
                <w:bCs/>
              </w:rPr>
              <w:t>4th</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
              <w:jc w:val="center"/>
              <w:rPr>
                <w:b/>
                <w:bCs/>
              </w:rPr>
            </w:pPr>
            <w:r>
              <w:rPr>
                <w:b/>
                <w:bCs/>
              </w:rPr>
              <w:t>1</w:t>
            </w:r>
          </w:p>
        </w:tc>
        <w:tc>
          <w:tcPr>
            <w:tcW w:w="1771" w:type="dxa"/>
            <w:tcBorders>
              <w:top w:val="single" w:sz="4" w:space="0" w:color="000000"/>
              <w:start w:val="single" w:sz="4" w:space="0" w:color="000000"/>
              <w:bottom w:val="single" w:sz="4" w:space="0" w:color="000000"/>
              <w:end w:val="single" w:sz="4" w:space="0" w:color="000000"/>
            </w:tcBorders>
          </w:tcPr>
          <w:p>
            <w:pPr>
              <w:pStyle w:val="BodyText"/>
              <w:jc w:val="center"/>
              <w:rPr/>
            </w:pPr>
            <w:r>
              <w:rPr/>
              <w:t>Letter 1</w:t>
            </w:r>
          </w:p>
        </w:tc>
        <w:tc>
          <w:tcPr>
            <w:tcW w:w="1771" w:type="dxa"/>
            <w:tcBorders>
              <w:top w:val="single" w:sz="4" w:space="0" w:color="000000"/>
              <w:start w:val="single" w:sz="4" w:space="0" w:color="000000"/>
              <w:bottom w:val="single" w:sz="4" w:space="0" w:color="000000"/>
              <w:end w:val="single" w:sz="4" w:space="0" w:color="000000"/>
            </w:tcBorders>
          </w:tcPr>
          <w:p>
            <w:pPr>
              <w:pStyle w:val="BodyText"/>
              <w:jc w:val="center"/>
              <w:rPr/>
            </w:pPr>
            <w:r>
              <w:rPr/>
              <w:t>Letter 1</w:t>
            </w:r>
          </w:p>
        </w:tc>
        <w:tc>
          <w:tcPr>
            <w:tcW w:w="1771" w:type="dxa"/>
            <w:tcBorders>
              <w:top w:val="single" w:sz="4" w:space="0" w:color="000000"/>
              <w:start w:val="single" w:sz="4" w:space="0" w:color="000000"/>
              <w:bottom w:val="single" w:sz="4" w:space="0" w:color="000000"/>
              <w:end w:val="single" w:sz="4" w:space="0" w:color="000000"/>
            </w:tcBorders>
          </w:tcPr>
          <w:p>
            <w:pPr>
              <w:pStyle w:val="BodyText"/>
              <w:jc w:val="center"/>
              <w:rPr/>
            </w:pPr>
            <w:r>
              <w:rPr/>
              <w:t>Letter 1</w:t>
            </w:r>
          </w:p>
        </w:tc>
        <w:tc>
          <w:tcPr>
            <w:tcW w:w="1772" w:type="dxa"/>
            <w:tcBorders>
              <w:top w:val="single" w:sz="4" w:space="0" w:color="000000"/>
              <w:start w:val="single" w:sz="4" w:space="0" w:color="000000"/>
              <w:bottom w:val="single" w:sz="4" w:space="0" w:color="000000"/>
              <w:end w:val="single" w:sz="4" w:space="0" w:color="000000"/>
            </w:tcBorders>
          </w:tcPr>
          <w:p>
            <w:pPr>
              <w:pStyle w:val="BodyText"/>
              <w:jc w:val="center"/>
              <w:rPr/>
            </w:pPr>
            <w:r>
              <w:rPr/>
              <w:t>Letter 2</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
              <w:jc w:val="center"/>
              <w:rPr>
                <w:b/>
                <w:bCs/>
              </w:rPr>
            </w:pPr>
            <w:r>
              <w:rPr>
                <w:b/>
                <w:bCs/>
              </w:rPr>
              <w:t>2</w:t>
            </w:r>
          </w:p>
        </w:tc>
        <w:tc>
          <w:tcPr>
            <w:tcW w:w="1771" w:type="dxa"/>
            <w:tcBorders>
              <w:top w:val="single" w:sz="4" w:space="0" w:color="000000"/>
              <w:start w:val="single" w:sz="4" w:space="0" w:color="000000"/>
              <w:bottom w:val="single" w:sz="4" w:space="0" w:color="000000"/>
              <w:end w:val="single" w:sz="4" w:space="0" w:color="000000"/>
            </w:tcBorders>
          </w:tcPr>
          <w:p>
            <w:pPr>
              <w:pStyle w:val="BodyText"/>
              <w:jc w:val="center"/>
              <w:rPr/>
            </w:pPr>
            <w:r>
              <w:rPr/>
              <w:t>Letter 2</w:t>
            </w:r>
          </w:p>
        </w:tc>
        <w:tc>
          <w:tcPr>
            <w:tcW w:w="1771" w:type="dxa"/>
            <w:tcBorders>
              <w:top w:val="single" w:sz="4" w:space="0" w:color="000000"/>
              <w:start w:val="single" w:sz="4" w:space="0" w:color="000000"/>
              <w:bottom w:val="single" w:sz="4" w:space="0" w:color="000000"/>
              <w:end w:val="single" w:sz="4" w:space="0" w:color="000000"/>
            </w:tcBorders>
          </w:tcPr>
          <w:p>
            <w:pPr>
              <w:pStyle w:val="BodyText"/>
              <w:jc w:val="center"/>
              <w:rPr/>
            </w:pPr>
            <w:r>
              <w:rPr/>
              <w:t>Letter 2</w:t>
            </w:r>
          </w:p>
        </w:tc>
        <w:tc>
          <w:tcPr>
            <w:tcW w:w="1771" w:type="dxa"/>
            <w:tcBorders>
              <w:top w:val="single" w:sz="4" w:space="0" w:color="000000"/>
              <w:start w:val="single" w:sz="4" w:space="0" w:color="000000"/>
              <w:bottom w:val="single" w:sz="4" w:space="0" w:color="000000"/>
              <w:end w:val="single" w:sz="4" w:space="0" w:color="000000"/>
            </w:tcBorders>
          </w:tcPr>
          <w:p>
            <w:pPr>
              <w:pStyle w:val="BodyText"/>
              <w:jc w:val="center"/>
              <w:rPr/>
            </w:pPr>
            <w:r>
              <w:rPr/>
              <w:t>Letter 2</w:t>
            </w:r>
          </w:p>
        </w:tc>
        <w:tc>
          <w:tcPr>
            <w:tcW w:w="1772" w:type="dxa"/>
            <w:tcBorders>
              <w:top w:val="single" w:sz="4" w:space="0" w:color="000000"/>
              <w:start w:val="single" w:sz="4" w:space="0" w:color="000000"/>
              <w:bottom w:val="single" w:sz="4" w:space="0" w:color="000000"/>
              <w:end w:val="single" w:sz="4" w:space="0" w:color="000000"/>
            </w:tcBorders>
          </w:tcPr>
          <w:p>
            <w:pPr>
              <w:pStyle w:val="BodyText"/>
              <w:jc w:val="center"/>
              <w:rPr/>
            </w:pPr>
            <w:r>
              <w:rPr/>
              <w:t>Letter 3</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
              <w:jc w:val="center"/>
              <w:rPr>
                <w:b/>
                <w:bCs/>
              </w:rPr>
            </w:pPr>
            <w:r>
              <w:rPr>
                <w:b/>
                <w:bCs/>
              </w:rPr>
              <w:t>3</w:t>
            </w:r>
          </w:p>
        </w:tc>
        <w:tc>
          <w:tcPr>
            <w:tcW w:w="1771" w:type="dxa"/>
            <w:tcBorders>
              <w:top w:val="single" w:sz="4" w:space="0" w:color="000000"/>
              <w:start w:val="single" w:sz="4" w:space="0" w:color="000000"/>
              <w:bottom w:val="single" w:sz="4" w:space="0" w:color="000000"/>
              <w:end w:val="single" w:sz="4" w:space="0" w:color="000000"/>
            </w:tcBorders>
          </w:tcPr>
          <w:p>
            <w:pPr>
              <w:pStyle w:val="BodyText"/>
              <w:jc w:val="center"/>
              <w:rPr/>
            </w:pPr>
            <w:r>
              <w:rPr/>
              <w:t>Letter 3</w:t>
            </w:r>
          </w:p>
        </w:tc>
        <w:tc>
          <w:tcPr>
            <w:tcW w:w="1771" w:type="dxa"/>
            <w:tcBorders>
              <w:top w:val="single" w:sz="4" w:space="0" w:color="000000"/>
              <w:start w:val="single" w:sz="4" w:space="0" w:color="000000"/>
              <w:bottom w:val="single" w:sz="4" w:space="0" w:color="000000"/>
              <w:end w:val="single" w:sz="4" w:space="0" w:color="000000"/>
            </w:tcBorders>
          </w:tcPr>
          <w:p>
            <w:pPr>
              <w:pStyle w:val="BodyText"/>
              <w:jc w:val="center"/>
              <w:rPr/>
            </w:pPr>
            <w:r>
              <w:rPr/>
              <w:t>Letter 3</w:t>
            </w:r>
          </w:p>
        </w:tc>
        <w:tc>
          <w:tcPr>
            <w:tcW w:w="1771" w:type="dxa"/>
            <w:tcBorders>
              <w:top w:val="single" w:sz="4" w:space="0" w:color="000000"/>
              <w:start w:val="single" w:sz="4" w:space="0" w:color="000000"/>
              <w:bottom w:val="single" w:sz="4" w:space="0" w:color="000000"/>
              <w:end w:val="single" w:sz="4" w:space="0" w:color="000000"/>
            </w:tcBorders>
          </w:tcPr>
          <w:p>
            <w:pPr>
              <w:pStyle w:val="BodyText"/>
              <w:jc w:val="center"/>
              <w:rPr/>
            </w:pPr>
            <w:r>
              <w:rPr/>
              <w:t>Letter 3</w:t>
            </w:r>
          </w:p>
        </w:tc>
        <w:tc>
          <w:tcPr>
            <w:tcW w:w="1772" w:type="dxa"/>
            <w:tcBorders>
              <w:top w:val="single" w:sz="4" w:space="0" w:color="000000"/>
              <w:start w:val="single" w:sz="4" w:space="0" w:color="000000"/>
              <w:bottom w:val="single" w:sz="4" w:space="0" w:color="000000"/>
              <w:end w:val="single" w:sz="4" w:space="0" w:color="000000"/>
            </w:tcBorders>
          </w:tcPr>
          <w:p>
            <w:pPr>
              <w:pStyle w:val="BodyText"/>
              <w:jc w:val="center"/>
              <w:rPr/>
            </w:pPr>
            <w:r>
              <w:rPr/>
              <w:t>Letter 4</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
              <w:jc w:val="center"/>
              <w:rPr>
                <w:b/>
                <w:bCs/>
              </w:rPr>
            </w:pPr>
            <w:r>
              <w:rPr>
                <w:b/>
                <w:bCs/>
              </w:rPr>
              <w:t>4</w:t>
            </w:r>
          </w:p>
        </w:tc>
        <w:tc>
          <w:tcPr>
            <w:tcW w:w="1771" w:type="dxa"/>
            <w:tcBorders>
              <w:top w:val="single" w:sz="4" w:space="0" w:color="000000"/>
              <w:start w:val="single" w:sz="4" w:space="0" w:color="000000"/>
              <w:bottom w:val="single" w:sz="4" w:space="0" w:color="000000"/>
              <w:end w:val="single" w:sz="4" w:space="0" w:color="000000"/>
            </w:tcBorders>
          </w:tcPr>
          <w:p>
            <w:pPr>
              <w:pStyle w:val="BodyText"/>
              <w:jc w:val="center"/>
              <w:rPr/>
            </w:pPr>
            <w:r>
              <w:rPr/>
              <w:t>Letter 4</w:t>
            </w:r>
          </w:p>
        </w:tc>
        <w:tc>
          <w:tcPr>
            <w:tcW w:w="1771" w:type="dxa"/>
            <w:tcBorders>
              <w:top w:val="single" w:sz="4" w:space="0" w:color="000000"/>
              <w:start w:val="single" w:sz="4" w:space="0" w:color="000000"/>
              <w:bottom w:val="single" w:sz="4" w:space="0" w:color="000000"/>
              <w:end w:val="single" w:sz="4" w:space="0" w:color="000000"/>
            </w:tcBorders>
          </w:tcPr>
          <w:p>
            <w:pPr>
              <w:pStyle w:val="BodyText"/>
              <w:jc w:val="center"/>
              <w:rPr/>
            </w:pPr>
            <w:r>
              <w:rPr/>
              <w:t>Letter 4</w:t>
            </w:r>
          </w:p>
        </w:tc>
        <w:tc>
          <w:tcPr>
            <w:tcW w:w="1771" w:type="dxa"/>
            <w:tcBorders>
              <w:top w:val="single" w:sz="4" w:space="0" w:color="000000"/>
              <w:start w:val="single" w:sz="4" w:space="0" w:color="000000"/>
              <w:bottom w:val="single" w:sz="4" w:space="0" w:color="000000"/>
              <w:end w:val="single" w:sz="4" w:space="0" w:color="000000"/>
            </w:tcBorders>
          </w:tcPr>
          <w:p>
            <w:pPr>
              <w:pStyle w:val="BodyText"/>
              <w:jc w:val="center"/>
              <w:rPr/>
            </w:pPr>
            <w:r>
              <w:rPr/>
              <w:t>Letter 4</w:t>
            </w:r>
          </w:p>
        </w:tc>
        <w:tc>
          <w:tcPr>
            <w:tcW w:w="1772"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bl>
    <w:p>
      <w:pPr>
        <w:pStyle w:val="BodyText"/>
        <w:jc w:val="center"/>
        <w:rPr/>
      </w:pPr>
      <w:r>
        <w:rPr/>
      </w:r>
    </w:p>
    <w:p>
      <w:pPr>
        <w:pStyle w:val="BodyText"/>
        <w:jc w:val="center"/>
        <w:rPr>
          <w:b/>
          <w:bCs/>
        </w:rPr>
      </w:pPr>
      <w:r>
        <w:rPr>
          <w:b/>
          <w:bCs/>
        </w:rPr>
        <w:t>Action taken with letters.</w:t>
      </w:r>
    </w:p>
    <w:p>
      <w:pPr>
        <w:pStyle w:val="BodyText"/>
        <w:rPr/>
      </w:pPr>
      <w:r>
        <w:rPr>
          <w:b/>
          <w:bCs/>
        </w:rPr>
        <w:t>Letter 1</w:t>
      </w:r>
      <w:r>
        <w:rPr/>
        <w:t>: to relevant functional head (Operations, Planning) and compliance contact of the Entity.</w:t>
      </w:r>
    </w:p>
    <w:p>
      <w:pPr>
        <w:pStyle w:val="BodyText"/>
        <w:ind w:hanging="810" w:start="810" w:end="0"/>
        <w:rPr/>
      </w:pPr>
      <w:r>
        <w:rPr>
          <w:b/>
          <w:bCs/>
        </w:rPr>
        <w:t>Letter 2</w:t>
      </w:r>
      <w:r>
        <w:rPr/>
        <w:t>: to the Vice-President in charge of compliance and the relevant functional head (Operations, Planning) and compliance contact of the Entity.</w:t>
      </w:r>
    </w:p>
    <w:p>
      <w:pPr>
        <w:pStyle w:val="BodyText"/>
        <w:ind w:hanging="810" w:start="810" w:end="0"/>
        <w:rPr/>
      </w:pPr>
      <w:r>
        <w:rPr>
          <w:b/>
          <w:bCs/>
        </w:rPr>
        <w:t>Letter 3</w:t>
      </w:r>
      <w:r>
        <w:rPr/>
        <w:t>: to the Chief Executive of the Entity with a copy to the relevant functional head and compliance contact of the Entity and other MCAPG Entities.</w:t>
      </w:r>
    </w:p>
    <w:p>
      <w:pPr>
        <w:pStyle w:val="BodyText"/>
        <w:ind w:hanging="810" w:start="810" w:end="0"/>
        <w:rPr/>
      </w:pPr>
      <w:r>
        <w:rPr>
          <w:b/>
          <w:bCs/>
        </w:rPr>
        <w:t>Letter 4</w:t>
      </w:r>
      <w:r>
        <w:rPr/>
        <w:t>: to the Chief Executive of the Entity with a copy to the relevant functional head and compliance contact of the Entity and other MCAPG Entities and posted on the MAIN Compliance Website.</w:t>
      </w:r>
    </w:p>
    <w:p>
      <w:pPr>
        <w:pStyle w:val="BodyText"/>
        <w:ind w:hanging="810" w:start="810" w:end="0"/>
        <w:rPr/>
      </w:pPr>
      <w:r>
        <w:rPr/>
      </w:r>
    </w:p>
    <w:p>
      <w:pPr>
        <w:pStyle w:val="BodyText"/>
        <w:rPr/>
      </w:pPr>
      <w:r>
        <w:rPr>
          <w:b/>
          <w:bCs/>
        </w:rPr>
        <w:t>Note:</w:t>
      </w:r>
      <w:r>
        <w:rPr/>
        <w:t xml:space="preserve"> Lateness will be monitored on a calendar year basis.  </w:t>
      </w:r>
    </w:p>
    <w:p>
      <w:pPr>
        <w:pStyle w:val="Normal"/>
        <w:ind w:start="720" w:end="0"/>
        <w:rPr>
          <w:sz w:val="22"/>
        </w:rPr>
      </w:pPr>
      <w:r>
        <w:rPr>
          <w:sz w:val="22"/>
        </w:rPr>
      </w:r>
    </w:p>
    <w:p>
      <w:pPr>
        <w:pStyle w:val="Heading1"/>
        <w:ind w:hanging="360" w:start="360" w:end="0"/>
        <w:rPr>
          <w:b w:val="false"/>
          <w:bCs/>
        </w:rPr>
      </w:pPr>
      <w:r>
        <w:rPr>
          <w:b w:val="false"/>
          <w:bCs/>
        </w:rPr>
        <w:t>f.</w:t>
        <w:tab/>
        <w:t>Sanctions applied for non-compliance will be simulated for the first 12 months or thereabouts, as a field test period, after the MAIN Agreement is implemented.  A 12 month field-test period shall also apply to any additional subsequent Designated Reliability Standards added to the MAIN Agreement before sanctions are applied.</w:t>
      </w:r>
    </w:p>
    <w:p>
      <w:pPr>
        <w:pStyle w:val="Footer"/>
        <w:tabs>
          <w:tab w:val="clear" w:pos="4320"/>
          <w:tab w:val="clear" w:pos="8640"/>
        </w:tabs>
        <w:rPr>
          <w:b/>
          <w:bCs/>
        </w:rPr>
      </w:pPr>
      <w:r>
        <w:rPr>
          <w:b/>
          <w:bCs/>
        </w:rPr>
      </w:r>
    </w:p>
    <w:p>
      <w:pPr>
        <w:pStyle w:val="Normal"/>
        <w:rPr>
          <w:b/>
          <w:bCs/>
          <w:sz w:val="22"/>
        </w:rPr>
      </w:pPr>
      <w:r>
        <w:rPr>
          <w:b/>
          <w:bCs/>
          <w:sz w:val="22"/>
        </w:rPr>
      </w:r>
    </w:p>
    <w:p>
      <w:pPr>
        <w:pStyle w:val="Normal"/>
        <w:rPr>
          <w:b/>
          <w:bCs/>
          <w:sz w:val="22"/>
        </w:rPr>
      </w:pPr>
      <w:r>
        <w:rPr>
          <w:b/>
          <w:bCs/>
          <w:sz w:val="22"/>
        </w:rPr>
        <w:t>VIII.</w:t>
        <w:tab/>
        <w:t>Appeals Process</w:t>
      </w:r>
    </w:p>
    <w:p>
      <w:pPr>
        <w:pStyle w:val="Normal"/>
        <w:rPr>
          <w:b/>
          <w:bCs/>
          <w:sz w:val="22"/>
        </w:rPr>
      </w:pPr>
      <w:r>
        <w:rPr>
          <w:b/>
          <w:bCs/>
          <w:sz w:val="22"/>
        </w:rPr>
      </w:r>
    </w:p>
    <w:p>
      <w:pPr>
        <w:pStyle w:val="BodyText"/>
        <w:rPr/>
      </w:pPr>
      <w:r>
        <w:rPr/>
        <w:t>a.   Addressed in Section 5.00 of MAIN Agreement and Section VI of this document.</w:t>
      </w:r>
    </w:p>
    <w:p>
      <w:pPr>
        <w:pStyle w:val="Heading1"/>
        <w:ind w:hanging="0" w:start="0"/>
        <w:rPr/>
      </w:pPr>
      <w:r>
        <w:rPr/>
      </w:r>
    </w:p>
    <w:p>
      <w:pPr>
        <w:pStyle w:val="Heading1"/>
        <w:ind w:hanging="0" w:start="0"/>
        <w:rPr/>
      </w:pPr>
      <w:r>
        <w:rPr/>
        <w:t>IX.</w:t>
        <w:tab/>
        <w:t>Necessary Regulatory Approvals</w:t>
      </w:r>
    </w:p>
    <w:p>
      <w:pPr>
        <w:pStyle w:val="Normal"/>
        <w:rPr>
          <w:b/>
          <w:sz w:val="22"/>
        </w:rPr>
      </w:pPr>
      <w:r>
        <w:rPr>
          <w:b/>
          <w:sz w:val="22"/>
        </w:rPr>
      </w:r>
    </w:p>
    <w:p>
      <w:pPr>
        <w:pStyle w:val="BodyTextIndent"/>
        <w:ind w:start="0" w:end="0"/>
        <w:rPr/>
      </w:pPr>
      <w:r>
        <w:rPr/>
        <w:t>a.   Not applicable at this time.</w:t>
      </w:r>
    </w:p>
    <w:p>
      <w:pPr>
        <w:pStyle w:val="Normal"/>
        <w:ind w:start="720" w:end="0"/>
        <w:rPr>
          <w:sz w:val="22"/>
        </w:rPr>
      </w:pPr>
      <w:r>
        <w:rPr>
          <w:sz w:val="22"/>
        </w:rPr>
      </w:r>
    </w:p>
    <w:p>
      <w:pPr>
        <w:pStyle w:val="Heading1"/>
        <w:ind w:hanging="0" w:start="0"/>
        <w:rPr/>
      </w:pPr>
      <w:r>
        <w:rPr/>
        <w:t>X.</w:t>
        <w:tab/>
        <w:t>Process for Amending or Revising Program or Any Agreements with Participants</w:t>
      </w:r>
    </w:p>
    <w:p>
      <w:pPr>
        <w:pStyle w:val="Normal"/>
        <w:rPr>
          <w:b/>
          <w:sz w:val="22"/>
        </w:rPr>
      </w:pPr>
      <w:r>
        <w:rPr>
          <w:b/>
          <w:sz w:val="22"/>
        </w:rPr>
      </w:r>
    </w:p>
    <w:p>
      <w:pPr>
        <w:pStyle w:val="Normal"/>
        <w:rPr>
          <w:b/>
          <w:sz w:val="22"/>
        </w:rPr>
      </w:pPr>
      <w:r>
        <w:rPr>
          <w:sz w:val="22"/>
        </w:rPr>
        <w:t>a.   Addressed in Section 6.00 of MAIN Agreement.</w:t>
      </w:r>
    </w:p>
    <w:p>
      <w:pPr>
        <w:pStyle w:val="Normal"/>
        <w:rPr>
          <w:b/>
          <w:sz w:val="22"/>
        </w:rPr>
      </w:pPr>
      <w:r>
        <w:rPr>
          <w:b/>
          <w:sz w:val="22"/>
        </w:rPr>
      </w:r>
    </w:p>
    <w:p>
      <w:pPr>
        <w:pStyle w:val="Heading6"/>
        <w:numPr>
          <w:ilvl w:val="0"/>
          <w:numId w:val="0"/>
        </w:numPr>
        <w:ind w:hanging="0" w:start="0"/>
        <w:rPr/>
      </w:pPr>
      <w:r>
        <w:rPr/>
        <w:t>XI.</w:t>
        <w:tab/>
        <w:t>Term and Termination of Program</w:t>
        <w:tab/>
      </w:r>
    </w:p>
    <w:p>
      <w:pPr>
        <w:pStyle w:val="Normal"/>
        <w:rPr>
          <w:b/>
          <w:sz w:val="22"/>
        </w:rPr>
      </w:pPr>
      <w:r>
        <w:rPr>
          <w:b/>
          <w:sz w:val="22"/>
        </w:rPr>
      </w:r>
    </w:p>
    <w:p>
      <w:pPr>
        <w:pStyle w:val="BodyText"/>
        <w:rPr/>
      </w:pPr>
      <w:r>
        <w:rPr/>
        <w:t>a.   Addressed in Section 7.00 of MAIN Agreement.</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TimesNew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8"/>
      </w:rPr>
    </w:pPr>
    <w:r>
      <w:rPr>
        <w:sz w:val="18"/>
      </w:rPr>
      <w:t>AGREEMENT FOR PARTICIPATION IN MAIN REGIONAL COMPLIANCE AND ENFORCEMENT PROGRAM</w:t>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24320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243205" cy="146685"/>
                      </a:xfrm>
                      <a:prstGeom prst="rect"/>
                      <a:solidFill>
                        <a:srgbClr val="FFFFFF">
                          <a:alpha val="0"/>
                        </a:srgbClr>
                      </a:solidFill>
                    </wps:spPr>
                    <wps:txbx>
                      <w:txbxContent>
                        <w:p>
                          <w:pPr>
                            <w:pStyle w:val="Footer"/>
                            <w:ind w:end="360"/>
                            <w:rPr/>
                          </w:pPr>
                          <w:r>
                            <w:rPr/>
                          </w:r>
                        </w:p>
                      </w:txbxContent>
                    </wps:txbx>
                    <wps:bodyPr anchor="t" lIns="0" tIns="0" rIns="0" bIns="0">
                      <a:noAutofit/>
                    </wps:bodyPr>
                  </wps:wsp>
                </a:graphicData>
              </a:graphic>
            </wp:anchor>
          </w:drawing>
        </mc:Choice>
        <mc:Fallback>
          <w:pict>
            <v:rect fillcolor="#FFFFFF" style="position:absolute;rotation:-0;width:19.15pt;height:11.55pt;mso-wrap-distance-left:0pt;mso-wrap-distance-right:0pt;mso-wrap-distance-top:0pt;mso-wrap-distance-bottom:0pt;margin-top:0.05pt;mso-position-vertical-relative:text;margin-left:206.45pt;mso-position-horizontal:center;mso-position-horizontal-relative:margin">
              <v:fill opacity="0f"/>
              <v:textbox inset="0in,0in,0in,0in">
                <w:txbxContent>
                  <w:p>
                    <w:pPr>
                      <w:pStyle w:val="Footer"/>
                      <w:ind w:end="360"/>
                      <w:rPr/>
                    </w:pPr>
                    <w:r>
                      <w:rPr/>
                    </w:r>
                  </w:p>
                </w:txbxContent>
              </v:textbox>
              <w10:wrap type="square"/>
            </v:rect>
          </w:pict>
        </mc:Fallback>
      </mc:AlternateContent>
    </w:r>
  </w:p>
  <w:p>
    <w:pPr>
      <w:pStyle w:val="Footer"/>
      <w:ind w:end="360"/>
      <w:rPr>
        <w:sz w:val="18"/>
      </w:rPr>
    </w:pPr>
    <w:r>
      <w:rPr>
        <w:sz w:val="18"/>
      </w:rPr>
      <w:t>As Approved by the MAIN Board of Directors, XXXXXXXX</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8"/>
      </w:rPr>
    </w:pPr>
    <w:r>
      <w:rPr>
        <w:sz w:val="18"/>
      </w:rPr>
      <w:t>AGREEMENT FOR PARTICIPATION IN MAIN REGIONAL COMPLIANCE AND ENFORCEMENT PROGRAM</w:t>
    </w:r>
  </w:p>
  <w:p>
    <w:pPr>
      <w:pStyle w:val="Footer"/>
      <w:rPr>
        <w:sz w:val="18"/>
      </w:rPr>
    </w:pPr>
    <w:r>
      <w:rPr>
        <w:sz w:val="18"/>
      </w:rPr>
      <w:t>As Approved by the MAIN Board of Directors, XXXXXXXX</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DRAFT </w:t>
    </w:r>
  </w:p>
  <w:p>
    <w:pPr>
      <w:pStyle w:val="Header"/>
      <w:jc w:val="end"/>
      <w:rPr/>
    </w:pPr>
    <w:r>
      <w:rPr/>
      <w:t>10/09/01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10/09/01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Roman"/>
      <w:lvlText w:val="%1."/>
      <w:lvlJc w:val="start"/>
      <w:pPr>
        <w:tabs>
          <w:tab w:val="num" w:pos="1080"/>
        </w:tabs>
        <w:ind w:start="1080" w:hanging="720"/>
      </w:pPr>
      <w:rPr/>
    </w:lvl>
  </w:abstractNum>
  <w:abstractNum w:abstractNumId="4">
    <w:lvl w:ilvl="0">
      <w:start w:val="1"/>
      <w:numFmt w:val="lowerLetter"/>
      <w:lvlText w:val="%1."/>
      <w:lvlJc w:val="start"/>
      <w:pPr>
        <w:tabs>
          <w:tab w:val="num" w:pos="720"/>
        </w:tabs>
        <w:ind w:start="720" w:hanging="360"/>
      </w:pPr>
      <w:rPr/>
    </w:lvl>
  </w:abstractNum>
  <w:abstractNum w:abstractNumId="5">
    <w:lvl w:ilvl="0">
      <w:start w:val="1"/>
      <w:numFmt w:val="lowerLetter"/>
      <w:lvlText w:val="%1."/>
      <w:lvlJc w:val="start"/>
      <w:pPr>
        <w:tabs>
          <w:tab w:val="num" w:pos="720"/>
        </w:tabs>
        <w:ind w:start="720" w:hanging="36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3"/>
      <w:numFmt w:val="upperRoman"/>
      <w:lvlText w:val="%1."/>
      <w:lvlJc w:val="start"/>
      <w:pPr>
        <w:tabs>
          <w:tab w:val="num" w:pos="720"/>
        </w:tabs>
        <w:ind w:start="720" w:hanging="720"/>
      </w:pPr>
      <w:rPr>
        <w:sz w:val="22"/>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9"/>
      <w:numFmt w:val="lowerLetter"/>
      <w:lvlText w:val="(%1)"/>
      <w:lvlJc w:val="start"/>
      <w:pPr>
        <w:tabs>
          <w:tab w:val="num" w:pos="2520"/>
        </w:tabs>
        <w:ind w:start="2520" w:hanging="360"/>
      </w:pPr>
      <w:rPr/>
    </w:lvl>
    <w:lvl w:ilvl="1">
      <w:start w:val="2"/>
      <w:numFmt w:val="lowerRoman"/>
      <w:lvlText w:val="(%2)"/>
      <w:lvlJc w:val="start"/>
      <w:pPr>
        <w:tabs>
          <w:tab w:val="num" w:pos="3600"/>
        </w:tabs>
        <w:ind w:start="3600" w:hanging="720"/>
      </w:pPr>
      <w:rPr/>
    </w:lvl>
    <w:lvl w:ilvl="2">
      <w:start w:val="1"/>
      <w:numFmt w:val="decimal"/>
      <w:lvlText w:val="%3."/>
      <w:lvlJc w:val="start"/>
      <w:pPr>
        <w:tabs>
          <w:tab w:val="num" w:pos="4140"/>
        </w:tabs>
        <w:ind w:start="4140" w:hanging="360"/>
      </w:pPr>
    </w:lvl>
    <w:lvl w:ilvl="3">
      <w:start w:val="5"/>
      <w:numFmt w:val="lowerLetter"/>
      <w:lvlText w:val="%4."/>
      <w:lvlJc w:val="start"/>
      <w:pPr>
        <w:tabs>
          <w:tab w:val="num" w:pos="4680"/>
        </w:tabs>
        <w:ind w:start="4680" w:hanging="360"/>
      </w:pPr>
      <w:rPr/>
    </w:lvl>
    <w:lvl w:ilvl="4">
      <w:start w:val="1"/>
      <w:numFmt w:val="lowerLetter"/>
      <w:lvlText w:val="(%5)"/>
      <w:lvlJc w:val="start"/>
      <w:pPr>
        <w:tabs>
          <w:tab w:val="num" w:pos="5400"/>
        </w:tabs>
        <w:ind w:start="5400" w:hanging="360"/>
      </w:pPr>
      <w:rPr/>
    </w:lvl>
    <w:lvl w:ilvl="5">
      <w:start w:val="1"/>
      <w:numFmt w:val="lowerRoman"/>
      <w:lvlText w:val="%6."/>
      <w:lvlJc w:val="end"/>
      <w:pPr>
        <w:tabs>
          <w:tab w:val="num" w:pos="6120"/>
        </w:tabs>
        <w:ind w:start="6120" w:hanging="180"/>
      </w:pPr>
    </w:lvl>
    <w:lvl w:ilvl="6">
      <w:start w:val="1"/>
      <w:numFmt w:val="decimal"/>
      <w:lvlText w:val="%7."/>
      <w:lvlJc w:val="start"/>
      <w:pPr>
        <w:tabs>
          <w:tab w:val="num" w:pos="6840"/>
        </w:tabs>
        <w:ind w:start="6840" w:hanging="360"/>
      </w:pPr>
    </w:lvl>
    <w:lvl w:ilvl="7">
      <w:start w:val="1"/>
      <w:numFmt w:val="lowerLetter"/>
      <w:lvlText w:val="%8."/>
      <w:lvlJc w:val="start"/>
      <w:pPr>
        <w:tabs>
          <w:tab w:val="num" w:pos="7560"/>
        </w:tabs>
        <w:ind w:start="7560" w:hanging="360"/>
      </w:pPr>
    </w:lvl>
    <w:lvl w:ilvl="8">
      <w:start w:val="1"/>
      <w:numFmt w:val="lowerRoman"/>
      <w:lvlText w:val="%9."/>
      <w:lvlJc w:val="end"/>
      <w:pPr>
        <w:tabs>
          <w:tab w:val="num" w:pos="8280"/>
        </w:tabs>
        <w:ind w:start="8280" w:hanging="180"/>
      </w:pPr>
    </w:lvl>
  </w:abstractNum>
  <w:abstractNum w:abstractNumId="10">
    <w:lvl w:ilvl="0">
      <w:start w:val="8"/>
      <w:numFmt w:val="lowerLetter"/>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3"/>
      <w:numFmt w:val="upperRoman"/>
      <w:lvlText w:val="%3."/>
      <w:lvlJc w:val="start"/>
      <w:pPr>
        <w:tabs>
          <w:tab w:val="num" w:pos="2700"/>
        </w:tabs>
        <w:ind w:start="2700" w:hanging="72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1">
    <w:lvl w:ilvl="0">
      <w:start w:val="1"/>
      <w:numFmt w:val="lowerLetter"/>
      <w:lvlText w:val="%1."/>
      <w:lvlJc w:val="start"/>
      <w:pPr>
        <w:tabs>
          <w:tab w:val="num" w:pos="720"/>
        </w:tabs>
        <w:ind w:start="1080" w:hanging="720"/>
      </w:pPr>
      <w:rPr>
        <w:b w:val="false"/>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ind w:hanging="0" w:start="720" w:end="0"/>
      <w:outlineLvl w:val="1"/>
    </w:pPr>
    <w:rPr>
      <w:b/>
      <w:sz w:val="22"/>
    </w:rPr>
  </w:style>
  <w:style w:type="paragraph" w:styleId="Heading3">
    <w:name w:val="heading 3"/>
    <w:basedOn w:val="Normal"/>
    <w:next w:val="Normal"/>
    <w:qFormat/>
    <w:pPr>
      <w:keepNext w:val="true"/>
      <w:numPr>
        <w:ilvl w:val="2"/>
        <w:numId w:val="1"/>
      </w:numPr>
      <w:ind w:hanging="0" w:start="720" w:end="0"/>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2"/>
    </w:rPr>
  </w:style>
  <w:style w:type="paragraph" w:styleId="Heading5">
    <w:name w:val="heading 5"/>
    <w:basedOn w:val="Normal"/>
    <w:next w:val="Normal"/>
    <w:qFormat/>
    <w:pPr>
      <w:keepNext w:val="true"/>
      <w:numPr>
        <w:ilvl w:val="4"/>
        <w:numId w:val="1"/>
      </w:numPr>
      <w:ind w:hanging="0" w:start="1440" w:end="0"/>
      <w:outlineLvl w:val="4"/>
    </w:pPr>
    <w:rPr>
      <w:b/>
      <w:sz w:val="22"/>
    </w:rPr>
  </w:style>
  <w:style w:type="paragraph" w:styleId="Heading6">
    <w:name w:val="heading 6"/>
    <w:basedOn w:val="Normal"/>
    <w:next w:val="Normal"/>
    <w:qFormat/>
    <w:pPr>
      <w:keepNext w:val="true"/>
      <w:numPr>
        <w:ilvl w:val="0"/>
        <w:numId w:val="7"/>
      </w:numPr>
      <w:outlineLvl w:val="5"/>
    </w:pPr>
    <w:rPr>
      <w:b/>
      <w:sz w:val="22"/>
    </w:rPr>
  </w:style>
  <w:style w:type="paragraph" w:styleId="Heading7">
    <w:name w:val="heading 7"/>
    <w:basedOn w:val="Normal"/>
    <w:next w:val="Normal"/>
    <w:qFormat/>
    <w:pPr>
      <w:keepNext w:val="true"/>
      <w:numPr>
        <w:ilvl w:val="0"/>
        <w:numId w:val="10"/>
      </w:numPr>
      <w:tabs>
        <w:tab w:val="left" w:pos="720" w:leader="none"/>
      </w:tabs>
      <w:ind w:hanging="2700" w:start="0" w:end="0"/>
      <w:outlineLvl w:val="6"/>
    </w:pPr>
    <w:rPr>
      <w:b/>
      <w:sz w:val="22"/>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b/>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b w:val="false"/>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z w:val="22"/>
    </w:rPr>
  </w:style>
  <w:style w:type="character" w:styleId="WW8Num27z0">
    <w:name w:val="WW8Num27z0"/>
    <w:qFormat/>
    <w:rPr/>
  </w:style>
  <w:style w:type="character" w:styleId="WW8Num28z0">
    <w:name w:val="WW8Num28z0"/>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b/>
    </w:rPr>
  </w:style>
  <w:style w:type="character" w:styleId="WW8Num42z0">
    <w:name w:val="WW8Num42z0"/>
    <w:qFormat/>
    <w:rPr>
      <w:rFonts w:ascii="Symbol" w:hAnsi="Symbol" w:cs="Symbol"/>
    </w:rPr>
  </w:style>
  <w:style w:type="character" w:styleId="WW8Num43z0">
    <w:name w:val="WW8Num43z0"/>
    <w:qFormat/>
    <w:rPr>
      <w:b w:val="false"/>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b/>
    </w:rPr>
  </w:style>
  <w:style w:type="character" w:styleId="WW8Num47z0">
    <w:name w:val="WW8Num47z0"/>
    <w:qFormat/>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b w:val="false"/>
    </w:rPr>
  </w:style>
  <w:style w:type="character" w:styleId="WW8Num51z0">
    <w:name w:val="WW8Num51z0"/>
    <w:qFormat/>
    <w:rPr/>
  </w:style>
  <w:style w:type="character" w:styleId="WW8Num52z0">
    <w:name w:val="WW8Num52z0"/>
    <w:qFormat/>
    <w:rPr/>
  </w:style>
  <w:style w:type="character" w:styleId="WW8Num53z0">
    <w:name w:val="WW8Num53z0"/>
    <w:qFormat/>
    <w:rPr>
      <w:b/>
    </w:rPr>
  </w:style>
  <w:style w:type="character" w:styleId="WW8Num54z0">
    <w:name w:val="WW8Num54z0"/>
    <w:qFormat/>
    <w:rPr>
      <w:rFonts w:ascii="Symbol" w:hAnsi="Symbol" w:cs="Symbol"/>
    </w:rPr>
  </w:style>
  <w:style w:type="character" w:styleId="WW8NumSt12z0">
    <w:name w:val="WW8NumSt1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sz w:val="22"/>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2"/>
    </w:rPr>
  </w:style>
  <w:style w:type="paragraph" w:styleId="BodyTextIndent2">
    <w:name w:val="Body Text Indent 2"/>
    <w:basedOn w:val="Normal"/>
    <w:qFormat/>
    <w:pPr>
      <w:ind w:hanging="0" w:start="1440" w:end="0"/>
    </w:pPr>
    <w:rPr>
      <w:sz w:val="22"/>
    </w:rPr>
  </w:style>
  <w:style w:type="paragraph" w:styleId="BodyTextIndent3">
    <w:name w:val="Body Text Indent 3"/>
    <w:basedOn w:val="Normal"/>
    <w:qFormat/>
    <w:pPr>
      <w:ind w:hanging="360" w:start="216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ingBody2">
    <w:name w:val="Heading Body 2"/>
    <w:basedOn w:val="BodyText"/>
    <w:qFormat/>
    <w:pPr>
      <w:widowControl w:val="false"/>
      <w:spacing w:before="0" w:after="120"/>
      <w:ind w:firstLine="720" w:start="0" w:end="0"/>
      <w:jc w:val="both"/>
    </w:pPr>
    <w:rPr>
      <w:rFonts w:ascii="CG Times;Times New Roman" w:hAnsi="CG Times;Times New Roman" w:cs="CG Times;Times New Roman"/>
      <w:sz w:val="23"/>
    </w:rPr>
  </w:style>
  <w:style w:type="paragraph" w:styleId="BodyText3">
    <w:name w:val="Body Text 3"/>
    <w:basedOn w:val="Normal"/>
    <w:qFormat/>
    <w:pPr>
      <w:widowControl w:val="false"/>
    </w:pPr>
    <w:rPr>
      <w:rFonts w:ascii="TimesNewRoman" w:hAnsi="TimesNewRoman" w:cs="TimesNewRoman"/>
      <w:sz w:val="24"/>
    </w:rPr>
  </w:style>
  <w:style w:type="paragraph" w:styleId="CommentText">
    <w:name w:val="Comment Text"/>
    <w:basedOn w:val="Normal"/>
    <w:qFormat/>
    <w:pPr/>
    <w:rPr>
      <w:lang w:val="en-CA" w:eastAsia="en-CA"/>
    </w:rPr>
  </w:style>
  <w:style w:type="paragraph" w:styleId="Header">
    <w:name w:val="header"/>
    <w:basedOn w:val="Normal"/>
    <w:pPr>
      <w:widowControl w:val="false"/>
      <w:tabs>
        <w:tab w:val="clear" w:pos="720"/>
        <w:tab w:val="center" w:pos="4320" w:leader="none"/>
        <w:tab w:val="right" w:pos="8640" w:leader="none"/>
      </w:tabs>
    </w:pPr>
    <w:rPr/>
  </w:style>
  <w:style w:type="paragraph" w:styleId="BodyText2">
    <w:name w:val="Body Text 2"/>
    <w:basedOn w:val="Normal"/>
    <w:qFormat/>
    <w:pPr/>
    <w:rPr>
      <w:b/>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2001-10-18T17:01:00Z</dcterms:created>
  <dc:creator>James M Dodge</dc:creator>
  <dc:description/>
  <dc:language>en-CA</dc:language>
  <cp:lastModifiedBy>jmd</cp:lastModifiedBy>
  <cp:lastPrinted>2001-10-09T08:30:00Z</cp:lastPrinted>
  <dcterms:modified xsi:type="dcterms:W3CDTF">2001-10-18T17:01:00Z</dcterms:modified>
  <cp:revision>2</cp:revision>
  <dc:subject/>
  <dc:title>MAIN GUIDE NO</dc:title>
</cp:coreProperties>
</file>