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Release – translation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Brasilia April  20, 2001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ANEEL PROMOTE CHANGES IN  WHOLE  ENERGY MARKET – WEM STRUCTURE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ANEEL intervening in the WEM throw three new resolution to be publish on Monday 23 to increase credibility and therefore enhancing new investments and power generation.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According Mr Jose Mario Abdo ( General director of ANEEL) the new structure will not change the principals in place but will improve the functioning of WEM through increase professionalism and guarantee structure for financial settlements.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The three major changes are: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360" w:start="5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Replacement of the current executive  committee composed of 26 representatives from the agents (13 from LDC’s and 13 from Producers) for a new board composed of 6 professional members without links with the agents.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360" w:start="5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Introduction of new financial guarantees from agents to allow and strengthen  financial liquidation of the market, as well as imposing financial and administrative penalties for non-compliant agents.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360" w:start="5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ASMAE ( WEM service entity ) will became an authorized entity subject to ANEEL rules and regulations.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2001-04-20T18:41:00Z</dcterms:created>
  <dc:creator>Enron</dc:creator>
  <dc:description/>
  <dc:language>en-CA</dc:language>
  <cp:lastModifiedBy>Enron</cp:lastModifiedBy>
  <dcterms:modified xsi:type="dcterms:W3CDTF">2001-04-20T19:08:00Z</dcterms:modified>
  <cp:revision>1</cp:revision>
  <dc:subject/>
  <dc:title>Release – translation</dc:title>
</cp:coreProperties>
</file>