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0" w:end="0"/>
        <w:rPr>
          <w:b/>
          <w:u w:val="single"/>
        </w:rPr>
      </w:pPr>
      <w:r>
        <w:rPr>
          <w:b/>
          <w:u w:val="single"/>
        </w:rPr>
        <w:t>Re:</w:t>
        <w:tab/>
        <w:t>Enron/RBC Gas Swap</w:t>
      </w:r>
    </w:p>
    <w:p>
      <w:pPr>
        <w:pStyle w:val="Normal"/>
        <w:ind w:start="0" w:end="0"/>
        <w:rPr/>
      </w:pPr>
      <w:r>
        <w:rPr/>
        <w:t>The following are the comments of Macleod Dixon and RBC on the draft documentation prepared by Enron and its counsel.</w:t>
      </w:r>
    </w:p>
    <w:p>
      <w:pPr>
        <w:pStyle w:val="Normal"/>
        <w:keepNext w:val="true"/>
        <w:ind w:start="0" w:end="0"/>
        <w:rPr>
          <w:b/>
          <w:u w:val="single"/>
        </w:rPr>
      </w:pPr>
      <w:r>
        <w:rPr>
          <w:b/>
          <w:u w:val="single"/>
        </w:rPr>
        <w:t>ISDA Schedules</w:t>
      </w:r>
    </w:p>
    <w:p>
      <w:pPr>
        <w:pStyle w:val="StandardL1"/>
        <w:numPr>
          <w:ilvl w:val="0"/>
          <w:numId w:val="2"/>
        </w:numPr>
        <w:ind w:hanging="720" w:start="720" w:end="0"/>
        <w:rPr/>
      </w:pPr>
      <w:r>
        <w:rPr/>
        <w:t>The Trustee would prefer the description of the Trust to be as follows:  "Montreal Trust Company of Canada not in its individual capacity but in its capacity as trustee of Bow River Trust."  This would affect the definition of Party B and the execution page.</w:t>
      </w:r>
    </w:p>
    <w:p>
      <w:pPr>
        <w:pStyle w:val="StandardL1"/>
        <w:numPr>
          <w:ilvl w:val="0"/>
          <w:numId w:val="2"/>
        </w:numPr>
        <w:ind w:hanging="720" w:start="720" w:end="0"/>
        <w:rPr/>
      </w:pPr>
      <w:r>
        <w:rPr/>
        <w:t>In order to be consistent with prior transactions involving Montreal Trust Company of Canada, the Schedules should contain the following protective language to guard against personal liability on the part of the Trustee:</w:t>
      </w:r>
    </w:p>
    <w:p>
      <w:pPr>
        <w:pStyle w:val="Normal"/>
        <w:rPr/>
      </w:pPr>
      <w:r>
        <w:rPr/>
        <w:t>"The obligations of Party B under this Agreement and any confirmation issued hereunder are not personally binding upon any trustee of Bow River Trust or any beneficiary of Bow River Trust, resort shall not be had to, nor shall recourse or satisfaction be sought from, any of such persons or the private property of any such persons, and any recourse against any of such persons in any manner in respect of any obligation or liability of Party B arising thereunder or in connection herewith or from the matters to which this Agreement or such Confirmation relates, if any, shall be limited to, and satisfied only out of, the assets of Bow River Trust."</w:t>
      </w:r>
    </w:p>
    <w:p>
      <w:pPr>
        <w:pStyle w:val="StandardL1"/>
        <w:numPr>
          <w:ilvl w:val="0"/>
          <w:numId w:val="2"/>
        </w:numPr>
        <w:ind w:hanging="720" w:start="720" w:end="0"/>
        <w:rPr/>
      </w:pPr>
      <w:r>
        <w:rPr/>
        <w:t>We suggest that the Termination Currency should be expressed in Canadian dollars to avoid confusion with the Confirmation.</w:t>
      </w:r>
    </w:p>
    <w:p>
      <w:pPr>
        <w:pStyle w:val="StandardL1"/>
        <w:keepNext w:val="true"/>
        <w:numPr>
          <w:ilvl w:val="0"/>
          <w:numId w:val="2"/>
        </w:numPr>
        <w:ind w:hanging="720" w:start="720" w:end="0"/>
        <w:rPr/>
      </w:pPr>
      <w:r>
        <w:rPr/>
        <w:t>The notice provisions for the Trustee are as follows:</w:t>
      </w:r>
    </w:p>
    <w:p>
      <w:pPr>
        <w:pStyle w:val="StandardL1"/>
        <w:keepNext w:val="true"/>
        <w:numPr>
          <w:ilvl w:val="0"/>
          <w:numId w:val="0"/>
        </w:numPr>
        <w:spacing w:before="0" w:after="0"/>
        <w:ind w:hanging="0" w:start="720" w:end="0"/>
        <w:rPr/>
      </w:pPr>
      <w:r>
        <w:rPr/>
        <w:t>Montreal Trust Company of Canada, as trustee of Bow River Trust</w:t>
      </w:r>
    </w:p>
    <w:p>
      <w:pPr>
        <w:pStyle w:val="StandardL1"/>
        <w:keepNext w:val="true"/>
        <w:numPr>
          <w:ilvl w:val="0"/>
          <w:numId w:val="0"/>
        </w:numPr>
        <w:spacing w:before="0" w:after="0"/>
        <w:ind w:hanging="0" w:start="720" w:end="0"/>
        <w:rPr/>
      </w:pPr>
      <w:r>
        <w:rPr/>
        <w:t>Suite 710, Western Gas Tower</w:t>
      </w:r>
    </w:p>
    <w:p>
      <w:pPr>
        <w:pStyle w:val="StandardL1"/>
        <w:keepNext w:val="true"/>
        <w:numPr>
          <w:ilvl w:val="0"/>
          <w:numId w:val="0"/>
        </w:numPr>
        <w:spacing w:before="0" w:after="0"/>
        <w:ind w:hanging="0" w:start="720" w:end="0"/>
        <w:rPr/>
      </w:pPr>
      <w:r>
        <w:rPr/>
        <w:t>530 – 8</w:t>
      </w:r>
      <w:r>
        <w:rPr>
          <w:vertAlign w:val="superscript"/>
        </w:rPr>
        <w:t>th</w:t>
      </w:r>
      <w:r>
        <w:rPr/>
        <w:t xml:space="preserve"> Avenue S.W.</w:t>
      </w:r>
    </w:p>
    <w:p>
      <w:pPr>
        <w:pStyle w:val="StandardL1"/>
        <w:keepNext w:val="true"/>
        <w:numPr>
          <w:ilvl w:val="0"/>
          <w:numId w:val="0"/>
        </w:numPr>
        <w:ind w:hanging="0" w:start="720" w:end="0"/>
        <w:rPr/>
      </w:pPr>
      <w:r>
        <w:rPr/>
        <w:t>Calgary, Alberta  T2P 3S8</w:t>
      </w:r>
    </w:p>
    <w:p>
      <w:pPr>
        <w:pStyle w:val="StandardL1"/>
        <w:keepNext w:val="true"/>
        <w:numPr>
          <w:ilvl w:val="0"/>
          <w:numId w:val="0"/>
        </w:numPr>
        <w:spacing w:before="0" w:after="0"/>
        <w:ind w:hanging="0" w:start="720" w:end="0"/>
        <w:rPr/>
      </w:pPr>
      <w:r>
        <w:rPr>
          <w:u w:val="single"/>
        </w:rPr>
        <w:t>Attention</w:t>
      </w:r>
      <w:r>
        <w:rPr/>
        <w:t>:</w:t>
        <w:tab/>
        <w:t>Manager, Corporate Trust</w:t>
      </w:r>
    </w:p>
    <w:p>
      <w:pPr>
        <w:pStyle w:val="StandardL1"/>
        <w:keepNext w:val="true"/>
        <w:numPr>
          <w:ilvl w:val="0"/>
          <w:numId w:val="0"/>
        </w:numPr>
        <w:ind w:hanging="0" w:start="720" w:end="0"/>
        <w:rPr/>
      </w:pPr>
      <w:r>
        <w:rPr/>
        <w:t>Rapifax No.:</w:t>
        <w:tab/>
        <w:t>(403) 267-6879</w:t>
      </w:r>
    </w:p>
    <w:p>
      <w:pPr>
        <w:pStyle w:val="StandardL1"/>
        <w:numPr>
          <w:ilvl w:val="0"/>
          <w:numId w:val="2"/>
        </w:numPr>
        <w:ind w:hanging="720" w:start="720" w:end="0"/>
        <w:rPr/>
      </w:pPr>
      <w:r>
        <w:rPr/>
        <w:t>Bow River Trust will not be preparing quarterly financial statements.</w:t>
      </w:r>
    </w:p>
    <w:p>
      <w:pPr>
        <w:pStyle w:val="StandardL1"/>
        <w:numPr>
          <w:ilvl w:val="0"/>
          <w:numId w:val="2"/>
        </w:numPr>
        <w:ind w:hanging="720" w:start="720" w:end="0"/>
        <w:rPr/>
      </w:pPr>
      <w:r>
        <w:rPr/>
        <w:t>We should confirm the payment mechanism for early termination.</w:t>
      </w:r>
    </w:p>
    <w:p>
      <w:pPr>
        <w:pStyle w:val="StandardL1"/>
        <w:numPr>
          <w:ilvl w:val="0"/>
          <w:numId w:val="2"/>
        </w:numPr>
        <w:ind w:hanging="720" w:start="720" w:end="0"/>
        <w:rPr/>
      </w:pPr>
      <w:r>
        <w:rPr/>
        <w:t>The new representation in Part 5(b)(g) is somewhat unusual and we question whether it is necessary (particularly the reference to weather-related Transactions).</w:t>
      </w:r>
    </w:p>
    <w:p>
      <w:pPr>
        <w:pStyle w:val="StandardL1"/>
        <w:numPr>
          <w:ilvl w:val="0"/>
          <w:numId w:val="2"/>
        </w:numPr>
        <w:ind w:hanging="720" w:start="720" w:end="0"/>
        <w:rPr/>
      </w:pPr>
      <w:r>
        <w:rPr/>
        <w:t>The transfer provisions should require that any transferee Affiliate must be in a jurisdiction that is approved for RBC to deal with.</w:t>
      </w:r>
    </w:p>
    <w:p>
      <w:pPr>
        <w:pStyle w:val="StandardL1"/>
        <w:numPr>
          <w:ilvl w:val="0"/>
          <w:numId w:val="2"/>
        </w:numPr>
        <w:ind w:hanging="720" w:start="720" w:end="0"/>
        <w:rPr/>
      </w:pPr>
      <w:r>
        <w:rPr/>
        <w:t>Attached are a number of RBC standard clauses which we request you insert in Part 5.</w:t>
      </w:r>
    </w:p>
    <w:p>
      <w:pPr>
        <w:pStyle w:val="StandardL1"/>
        <w:numPr>
          <w:ilvl w:val="0"/>
          <w:numId w:val="2"/>
        </w:numPr>
        <w:ind w:hanging="720" w:start="720" w:end="0"/>
        <w:rPr/>
      </w:pPr>
      <w:r>
        <w:rPr/>
        <w:t>Please insert the following in Part 6:</w:t>
      </w:r>
    </w:p>
    <w:p>
      <w:pPr>
        <w:pStyle w:val="PlainText"/>
        <w:rPr>
          <w:rFonts w:ascii="Times New Roman" w:hAnsi="Times New Roman" w:cs="Times New Roman"/>
          <w:sz w:val="24"/>
        </w:rPr>
      </w:pPr>
      <w:r>
        <w:rPr>
          <w:rFonts w:cs="Times New Roman" w:ascii="Times New Roman" w:hAnsi="Times New Roman"/>
          <w:sz w:val="24"/>
        </w:rPr>
        <w:t>"Delivery.  It is specifically agreed by the parties hereto that no physical delivery of any Commodity or any product derived from a Commodity, other than a Futures Contract, shall be permitted or made in any Confirmation or in any Transaction under this Agreement."</w:t>
      </w:r>
    </w:p>
    <w:p>
      <w:pPr>
        <w:pStyle w:val="StandardL1"/>
        <w:numPr>
          <w:ilvl w:val="0"/>
          <w:numId w:val="2"/>
        </w:numPr>
        <w:ind w:hanging="720" w:start="720" w:end="0"/>
        <w:rPr/>
      </w:pPr>
      <w:r>
        <w:rPr/>
        <w:t>Please confirm that the cash collateral will be denominated in Canadian dollars.</w:t>
      </w:r>
    </w:p>
    <w:p>
      <w:pPr>
        <w:pStyle w:val="Normal"/>
        <w:keepNext w:val="true"/>
        <w:ind w:start="0" w:end="0"/>
        <w:rPr>
          <w:b/>
          <w:u w:val="single"/>
        </w:rPr>
      </w:pPr>
      <w:r>
        <w:rPr>
          <w:b/>
          <w:u w:val="single"/>
        </w:rPr>
        <w:t>Confirmations</w:t>
      </w:r>
    </w:p>
    <w:p>
      <w:pPr>
        <w:pStyle w:val="StandardL1"/>
        <w:numPr>
          <w:ilvl w:val="0"/>
          <w:numId w:val="3"/>
        </w:numPr>
        <w:ind w:hanging="720" w:start="720" w:end="0"/>
        <w:rPr/>
      </w:pPr>
      <w:r>
        <w:rPr/>
        <w:t>Party B in Swap 1 is incorrectly referred to as Bow Valley Trust and should be described by reference to the trustee.</w:t>
      </w:r>
    </w:p>
    <w:p>
      <w:pPr>
        <w:pStyle w:val="StandardL1"/>
        <w:numPr>
          <w:ilvl w:val="0"/>
          <w:numId w:val="2"/>
        </w:numPr>
        <w:ind w:hanging="720" w:start="720" w:end="0"/>
        <w:rPr/>
      </w:pPr>
      <w:r>
        <w:rPr/>
        <w:t>The fixed amount in Swap 1 will not be exactly $300,000,000.  The exact amount cannot be determined until the CDOR rate is set on the morning of closing.</w:t>
      </w:r>
    </w:p>
    <w:p>
      <w:pPr>
        <w:pStyle w:val="StandardL1"/>
        <w:numPr>
          <w:ilvl w:val="0"/>
          <w:numId w:val="2"/>
        </w:numPr>
        <w:ind w:hanging="720" w:start="720" w:end="0"/>
        <w:rPr/>
      </w:pPr>
      <w:r>
        <w:rPr/>
        <w:t>The calculation period in Swap 1 needs to correspond with the exact BA periods.  RBC will provide the exact dates.  The extra stub period should also be moved to the final calculation period.</w:t>
      </w:r>
    </w:p>
    <w:p>
      <w:pPr>
        <w:pStyle w:val="StandardL1"/>
        <w:numPr>
          <w:ilvl w:val="0"/>
          <w:numId w:val="2"/>
        </w:numPr>
        <w:ind w:hanging="720" w:start="720" w:end="0"/>
        <w:rPr/>
      </w:pPr>
      <w:r>
        <w:rPr/>
        <w:t>What is the pricing mechanism that will fix the flow of interest (which needs to match the fixed flow of interest under the interest rate swap)?</w:t>
      </w:r>
    </w:p>
    <w:p>
      <w:pPr>
        <w:pStyle w:val="StandardL1"/>
        <w:numPr>
          <w:ilvl w:val="0"/>
          <w:numId w:val="2"/>
        </w:numPr>
        <w:ind w:hanging="720" w:start="720" w:end="0"/>
        <w:rPr/>
      </w:pPr>
      <w:r>
        <w:rPr/>
        <w:t>Swap 3 contains a monthly interest flow which should be deleted (since all interest will flow under Swap 1).</w:t>
      </w:r>
    </w:p>
    <w:p>
      <w:pPr>
        <w:pStyle w:val="StandardL1"/>
        <w:numPr>
          <w:ilvl w:val="0"/>
          <w:numId w:val="2"/>
        </w:numPr>
        <w:ind w:hanging="720" w:start="720" w:end="0"/>
        <w:rPr/>
      </w:pPr>
      <w:r>
        <w:rPr/>
        <w:t>The provisions for bilateral optional early termination need to be inserted.</w:t>
      </w:r>
    </w:p>
    <w:p>
      <w:pPr>
        <w:pStyle w:val="StandardL1"/>
        <w:keepNext w:val="true"/>
        <w:numPr>
          <w:ilvl w:val="0"/>
          <w:numId w:val="0"/>
        </w:numPr>
        <w:ind w:hanging="0" w:start="0" w:end="0"/>
        <w:rPr>
          <w:b/>
          <w:u w:val="single"/>
        </w:rPr>
      </w:pPr>
      <w:r>
        <w:rPr>
          <w:b/>
          <w:u w:val="single"/>
        </w:rPr>
        <w:t>Enron Corp. Guaranties</w:t>
      </w:r>
    </w:p>
    <w:p>
      <w:pPr>
        <w:pStyle w:val="StandardL1"/>
        <w:numPr>
          <w:ilvl w:val="0"/>
          <w:numId w:val="4"/>
        </w:numPr>
        <w:tabs>
          <w:tab w:val="clear" w:pos="720"/>
          <w:tab w:val="left" w:pos="9360" w:leader="none"/>
        </w:tabs>
        <w:ind w:hanging="720" w:start="720" w:end="0"/>
        <w:rPr/>
      </w:pPr>
      <w:r>
        <w:rPr/>
        <w:t>Please provide an electronic version of your corporate revolver so that we can confirm that all representations, covenants and events of default (and the associated definitions) have been included.</w:t>
      </w:r>
    </w:p>
    <w:p>
      <w:pPr>
        <w:pStyle w:val="StandardL1"/>
        <w:numPr>
          <w:ilvl w:val="0"/>
          <w:numId w:val="2"/>
        </w:numPr>
        <w:ind w:hanging="720" w:start="720" w:end="0"/>
        <w:rPr/>
      </w:pPr>
      <w:r>
        <w:rPr/>
        <w:t>The reference to Section 6.08 in the definition of Judgement Currency should be changed to Section 6.07.</w:t>
      </w:r>
    </w:p>
    <w:p>
      <w:pPr>
        <w:pStyle w:val="StandardL1"/>
        <w:numPr>
          <w:ilvl w:val="0"/>
          <w:numId w:val="2"/>
        </w:numPr>
        <w:ind w:hanging="720" w:start="720" w:end="0"/>
        <w:rPr/>
      </w:pPr>
      <w:r>
        <w:rPr/>
        <w:t>Please confirm that Enron Canada is a Principal Subsidiary.</w:t>
      </w:r>
    </w:p>
    <w:p>
      <w:pPr>
        <w:pStyle w:val="StandardL1"/>
        <w:numPr>
          <w:ilvl w:val="0"/>
          <w:numId w:val="2"/>
        </w:numPr>
        <w:ind w:hanging="720" w:start="720" w:end="0"/>
        <w:rPr/>
      </w:pPr>
      <w:r>
        <w:rPr/>
        <w:t>Please add a covenant that the obligations under the Guarantee will rank pari passu in right of payment will all other unsecured senior debt of the Guarantor.</w:t>
      </w:r>
    </w:p>
    <w:p>
      <w:pPr>
        <w:pStyle w:val="StandardL1"/>
        <w:numPr>
          <w:ilvl w:val="0"/>
          <w:numId w:val="2"/>
        </w:numPr>
        <w:ind w:hanging="720" w:start="720" w:end="0"/>
        <w:rPr/>
      </w:pPr>
      <w:r>
        <w:rPr/>
        <w:t>Why was negative covenant (c) from the revolver regarding disposition of assets not included in the Guaranty?</w:t>
      </w:r>
    </w:p>
    <w:p>
      <w:pPr>
        <w:pStyle w:val="StandardL1"/>
        <w:numPr>
          <w:ilvl w:val="0"/>
          <w:numId w:val="2"/>
        </w:numPr>
        <w:ind w:hanging="720" w:start="720" w:end="0"/>
        <w:rPr/>
      </w:pPr>
      <w:r>
        <w:rPr/>
        <w:t>Please add a gross up for withholding taxes.</w:t>
      </w:r>
    </w:p>
    <w:p>
      <w:pPr>
        <w:pStyle w:val="StandardL1"/>
        <w:numPr>
          <w:ilvl w:val="0"/>
          <w:numId w:val="2"/>
        </w:numPr>
        <w:ind w:hanging="720" w:start="720" w:end="0"/>
        <w:rPr/>
      </w:pPr>
      <w:r>
        <w:rPr/>
        <w:t>The Enron Corp. Guaranty in favour of Bow River Trust should be in favour of Montreal Trust Company of Canada as trustee of Bow River Trust.</w:t>
      </w:r>
    </w:p>
    <w:p>
      <w:pPr>
        <w:pStyle w:val="StandardL1"/>
        <w:numPr>
          <w:ilvl w:val="0"/>
          <w:numId w:val="2"/>
        </w:numPr>
        <w:ind w:hanging="720" w:start="720" w:end="0"/>
        <w:rPr/>
      </w:pPr>
      <w:r>
        <w:rPr/>
        <w:t>The Guaranteed Obligations in the Guaranty in favour of Bow River Trust should include all amounts owed from time to time under the Acknowledgement Agreement (which will contain the increased costs provisions).</w:t>
      </w:r>
    </w:p>
    <w:p>
      <w:pPr>
        <w:pStyle w:val="StandardL1"/>
        <w:keepNext w:val="true"/>
        <w:numPr>
          <w:ilvl w:val="0"/>
          <w:numId w:val="0"/>
        </w:numPr>
        <w:ind w:hanging="0" w:start="0" w:end="0"/>
        <w:rPr>
          <w:b/>
          <w:u w:val="single"/>
        </w:rPr>
      </w:pPr>
      <w:r>
        <w:rPr>
          <w:b/>
          <w:u w:val="single"/>
        </w:rPr>
        <w:t>Opinions</w:t>
      </w:r>
    </w:p>
    <w:p>
      <w:pPr>
        <w:pStyle w:val="StandardL1"/>
        <w:numPr>
          <w:ilvl w:val="0"/>
          <w:numId w:val="5"/>
        </w:numPr>
        <w:ind w:hanging="720" w:start="720" w:end="0"/>
        <w:rPr/>
      </w:pPr>
      <w:r>
        <w:rPr/>
        <w:t>All references to Bow River Trust should refer to Montreal Trust Company of Canada as trustee of Bow River Trust.</w:t>
      </w:r>
    </w:p>
    <w:p>
      <w:pPr>
        <w:pStyle w:val="StandardL1"/>
        <w:numPr>
          <w:ilvl w:val="0"/>
          <w:numId w:val="2"/>
        </w:numPr>
        <w:ind w:hanging="720" w:start="720" w:end="0"/>
        <w:rPr/>
      </w:pPr>
      <w:r>
        <w:rPr/>
        <w:t>The description of the ISDA Agreement in the Blakes opinions should expressly include the swap transaction confirmation.</w:t>
      </w:r>
    </w:p>
    <w:p>
      <w:pPr>
        <w:pStyle w:val="StandardL1"/>
        <w:numPr>
          <w:ilvl w:val="0"/>
          <w:numId w:val="2"/>
        </w:numPr>
        <w:ind w:hanging="720" w:start="720" w:end="0"/>
        <w:rPr/>
      </w:pPr>
      <w:r>
        <w:rPr/>
        <w:t>As discussed with Blakes, the reliance paragraph should be expanded to permit reliance by permitted assignees of the ISDA Agreement.</w:t>
      </w:r>
    </w:p>
    <w:p>
      <w:pPr>
        <w:pStyle w:val="StandardL1"/>
        <w:numPr>
          <w:ilvl w:val="0"/>
          <w:numId w:val="0"/>
        </w:numPr>
        <w:ind w:hanging="0" w:start="0" w:end="0"/>
        <w:rPr/>
      </w:pPr>
      <w:r>
        <w:rPr/>
        <w:t>In terms of outstanding documentation, we have attached a draft of our legal opinion with respect to Bow River Trust.  The acknowledgement together with the attachment to the rate swap Confirmation will be circulated tomorrow morning.  We were delayed because of some changes to the structure that were discussed with Brian and Cris late yesterday</w:t>
      </w:r>
    </w:p>
    <w:p>
      <w:pPr>
        <w:pStyle w:val="StandardL1"/>
        <w:numPr>
          <w:ilvl w:val="0"/>
          <w:numId w:val="0"/>
        </w:numPr>
        <w:ind w:hanging="0" w:start="0" w:end="0"/>
        <w:rPr/>
      </w:pPr>
      <w:r>
        <w:rPr/>
        <w:t>Please note that the above ISDA-related comments were provided without having the full input from RBC's inhouse ISDA counsel.  We will contact her as soon as possible in the morning to determine whether she has any additional comments.</w:t>
      </w:r>
      <w:r>
        <w:br w:type="page"/>
      </w:r>
    </w:p>
    <w:p>
      <w:pPr>
        <w:pStyle w:val="Normal"/>
        <w:ind w:start="0" w:end="0"/>
        <w:rPr/>
      </w:pPr>
      <w:r>
        <w:rPr>
          <w:b/>
        </w:rPr>
        <w:t>Obligations Binding</w:t>
      </w:r>
      <w:r>
        <w:rPr/>
        <w:t>.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ind w:start="0" w:end="0"/>
        <w:rPr/>
      </w:pPr>
      <w:r>
        <w:rPr>
          <w:b/>
        </w:rPr>
        <w:t>Illegality</w:t>
      </w:r>
      <w:r>
        <w:rPr/>
        <w:t>.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ind w:start="0" w:end="0"/>
        <w:rPr/>
      </w:pPr>
      <w:r>
        <w:rPr>
          <w:b/>
        </w:rPr>
        <w:t>Execution</w:t>
      </w:r>
      <w:r>
        <w:rPr/>
        <w:t>.  Section 9(e)(ii) of this Agreement is deleted and replaced in its entirety with the following provision:</w:t>
      </w:r>
    </w:p>
    <w:p>
      <w:pPr>
        <w:pStyle w:val="Normal"/>
        <w:ind w:end="0"/>
        <w:rPr/>
      </w:pPr>
      <w:r>
        <w:rPr/>
        <w:t>“</w:t>
      </w:r>
      <w:r>
        <w:rPr/>
        <w:t xml:space="preserve">(ii) </w:t>
      </w:r>
      <w:r>
        <w:rPr>
          <w:u w:val="single"/>
        </w:rPr>
        <w:t>Execution of Transactions</w:t>
      </w:r>
      <w:r>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p>
    <w:p>
      <w:pPr>
        <w:pStyle w:val="Normal"/>
        <w:ind w:start="0" w:end="0"/>
        <w:rPr/>
      </w:pPr>
      <w:r>
        <w:rPr>
          <w:b/>
        </w:rPr>
        <w:t>Service of Process</w:t>
      </w:r>
      <w:r>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ind w:start="0" w:end="0"/>
        <w:rPr/>
      </w:pPr>
      <w:r>
        <w:rPr>
          <w:b/>
        </w:rPr>
        <w:t>Equivalency Clause</w:t>
      </w:r>
      <w:r>
        <w:rPr/>
        <w:t xml:space="preserve">.  For the purpose of disclosure pursuant to the </w:t>
      </w:r>
      <w:r>
        <w:rPr>
          <w:u w:val="single"/>
        </w:rPr>
        <w:t>Interest Act</w:t>
      </w:r>
      <w:r>
        <w:rPr/>
        <w:t xml:space="preserve"> (Canada), the yearly rate of interest to which any rate of interest payable under this Agreement that is to be calculated on any basis other than a full calendar year is equivalent may be determined by multiplying such rate by a fraction the numerator of which is the actual number of days in the calendar year in which such yearly rate of interest is to be ascertained and the denominator of which is the number of days comprising such other basis.</w:t>
      </w:r>
    </w:p>
    <w:p>
      <w:pPr>
        <w:pStyle w:val="Normal"/>
        <w:ind w:start="0" w:end="0"/>
        <w:rPr/>
      </w:pPr>
      <w:r>
        <w:rPr>
          <w:b/>
        </w:rPr>
        <w:t>Electronic Confirmations</w:t>
      </w:r>
      <w:r>
        <w:rPr/>
        <w:t>.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hanging="720" w:start="1440" w:end="0"/>
        <w:rPr/>
      </w:pPr>
      <w:r>
        <w:rPr/>
        <w:t>(i)</w:t>
        <w:tab/>
        <w:t>such confirmation will constitute a 'Confirmation' as referred to in this Agreement even where not so specified in the Confirmation, and</w:t>
      </w:r>
    </w:p>
    <w:p>
      <w:pPr>
        <w:pStyle w:val="Normal"/>
        <w:ind w:hanging="720" w:start="1440" w:end="0"/>
        <w:rPr/>
      </w:pPr>
      <w:r>
        <w:rPr/>
        <w:t>(ii)</w:t>
        <w:tab/>
        <w:t>such Confirmation will supplement, form part of, and be subject to this Agreement and all provisions in this Agreement will govern the Confirmation except as modified therein.</w:t>
      </w:r>
    </w:p>
    <w:p>
      <w:pPr>
        <w:pStyle w:val="Normal"/>
        <w:spacing w:before="0" w:after="240"/>
        <w:ind w:start="0" w:end="0"/>
        <w:rPr/>
      </w:pPr>
      <w:r>
        <w:rPr>
          <w:b/>
        </w:rPr>
        <w:t>Electronic Signatures</w:t>
      </w:r>
      <w:r>
        <w:rPr/>
        <w:t xml:space="preserve">. </w:t>
      </w:r>
      <w:r>
        <w:rPr>
          <w:lang w:eastAsia="en-US"/>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defence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sectPr>
      <w:headerReference w:type="default" r:id="rId2"/>
      <w:headerReference w:type="first" r:id="rId3"/>
      <w:footerReference w:type="default" r:id="rId4"/>
      <w:footerReference w:type="first" r:id="rId5"/>
      <w:type w:val="nextPage"/>
      <w:pgSz w:w="12240" w:h="15840"/>
      <w:pgMar w:left="1440" w:right="1440" w:gutter="0" w:header="720" w:top="1440" w:footer="47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altName w:val="EngraversGothic BT"/>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ind w:start="0" w:end="720"/>
      <w:jc w:val="start"/>
      <w:rPr/>
    </w:pPr>
    <w:r>
      <w:rPr>
        <w:rStyle w:val="zzmpTrailerItem"/>
      </w:rPr>
      <w:t>Bordenr\01388\176534\</w:t>
    </w:r>
    <w:r>
      <w:rPr>
        <w:rStyle w:val="zzmpTrailerItem"/>
        <w:b/>
        <w:i/>
      </w:rPr>
      <w:t>122987.v1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ind w:start="0" w:end="720"/>
      <w:jc w:val="start"/>
      <w:rPr/>
    </w:pPr>
    <w:r>
      <w:rPr>
        <w:rStyle w:val="zzmpTrailerItem"/>
      </w:rPr>
      <w:t>Bordenr\01388\176534\</w:t>
    </w:r>
    <w:r>
      <w:rPr>
        <w:rStyle w:val="zzmpTrailerItem"/>
        <w:b/>
        <w:i/>
      </w:rPr>
      <w:t>122987.v1</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spacing w:before="0" w:after="240"/>
      <w:ind w:start="0" w:end="720"/>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1677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167765" cy="175260"/>
                      </a:xfrm>
                      <a:prstGeom prst="rect"/>
                      <a:solidFill>
                        <a:srgbClr val="FFFFFF">
                          <a:alpha val="0"/>
                        </a:srgbClr>
                      </a:solidFill>
                    </wps:spPr>
                    <wps:txbx>
                      <w:txbxContent>
                        <w:p>
                          <w:pPr>
                            <w:pStyle w:val="Header"/>
                            <w:spacing w:before="0" w:after="240"/>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91.95pt;height:13.8pt;mso-wrap-distance-left:0pt;mso-wrap-distance-right:0pt;mso-wrap-distance-top:0pt;mso-wrap-distance-bottom:0pt;margin-top:0.05pt;mso-position-vertical-relative:text;margin-left:188.05pt;mso-position-horizontal:center;mso-position-horizontal-relative:margin">
              <v:fill opacity="0f"/>
              <v:textbox inset="0in,0in,0in,0in">
                <w:txbxContent>
                  <w:p>
                    <w:pPr>
                      <w:pStyle w:val="Header"/>
                      <w:spacing w:before="0" w:after="240"/>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CurrentTOCScheme" w:val="Standard"/>
    <w:docVar w:name="zzmpFixedCurScheme" w:val="Standard"/>
    <w:docVar w:name="zzmpFixedDOC_ID" w:val="MACLEOD\122987.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ind w:hanging="0" w:start="720" w:end="72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2"/>
      <w:sz w:val="12"/>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firstLine="720" w:start="72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720"/>
    </w:pPr>
    <w:rPr/>
  </w:style>
  <w:style w:type="paragraph" w:styleId="LHFirmName">
    <w:name w:val="LH Firm Name"/>
    <w:basedOn w:val="Normal"/>
    <w:qFormat/>
    <w:pPr>
      <w:spacing w:before="0" w:after="120"/>
      <w:ind w:hanging="0" w:start="-720" w:end="720"/>
    </w:pPr>
    <w:rPr>
      <w:rFonts w:ascii="EngravrsRoman BT;EngraversGothic BT" w:hAnsi="EngravrsRoman BT;EngraversGothic BT" w:cs="EngravrsRoman BT;EngraversGothic BT"/>
      <w:b/>
      <w:spacing w:val="10"/>
      <w:sz w:val="15"/>
    </w:rPr>
  </w:style>
  <w:style w:type="paragraph" w:styleId="BodyTextContinued">
    <w:name w:val="Body Text Continued"/>
    <w:basedOn w:val="BodyText"/>
    <w:next w:val="BodyText"/>
    <w:qFormat/>
    <w:pPr>
      <w:ind w:hanging="0" w:start="720" w:end="72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72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240"/>
    </w:pPr>
    <w:rPr>
      <w:b/>
    </w:rPr>
  </w:style>
  <w:style w:type="paragraph" w:styleId="SDP">
    <w:name w:val="SDP"/>
    <w:basedOn w:val="Normal"/>
    <w:next w:val="Normal"/>
    <w:qFormat/>
    <w:pPr>
      <w:spacing w:before="240" w:after="24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240"/>
      <w:ind w:hanging="0" w:start="72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NumContinue">
    <w:name w:val="Num Continue"/>
    <w:basedOn w:val="BodyText"/>
    <w:qFormat/>
    <w:pPr>
      <w:spacing w:before="0" w:after="240"/>
      <w:jc w:val="start"/>
    </w:pPr>
    <w:rPr/>
  </w:style>
  <w:style w:type="paragraph" w:styleId="StandardL9">
    <w:name w:val="Standard_L9"/>
    <w:basedOn w:val="Normal"/>
    <w:qFormat/>
    <w:pPr>
      <w:numPr>
        <w:ilvl w:val="0"/>
        <w:numId w:val="2"/>
      </w:numPr>
      <w:jc w:val="start"/>
      <w:outlineLvl w:val="8"/>
    </w:pPr>
    <w:rPr/>
  </w:style>
  <w:style w:type="paragraph" w:styleId="StandardL8">
    <w:name w:val="Standard_L8"/>
    <w:basedOn w:val="Normal"/>
    <w:qFormat/>
    <w:pPr>
      <w:numPr>
        <w:ilvl w:val="0"/>
        <w:numId w:val="2"/>
      </w:numPr>
      <w:jc w:val="start"/>
      <w:outlineLvl w:val="7"/>
    </w:pPr>
    <w:rPr/>
  </w:style>
  <w:style w:type="paragraph" w:styleId="StandardL7">
    <w:name w:val="Standard_L7"/>
    <w:basedOn w:val="Normal"/>
    <w:qFormat/>
    <w:pPr>
      <w:numPr>
        <w:ilvl w:val="0"/>
        <w:numId w:val="2"/>
      </w:numPr>
      <w:jc w:val="start"/>
      <w:outlineLvl w:val="6"/>
    </w:pPr>
    <w:rPr/>
  </w:style>
  <w:style w:type="paragraph" w:styleId="StandardL6">
    <w:name w:val="Standard_L6"/>
    <w:basedOn w:val="Normal"/>
    <w:qFormat/>
    <w:pPr>
      <w:numPr>
        <w:ilvl w:val="0"/>
        <w:numId w:val="2"/>
      </w:numPr>
      <w:jc w:val="start"/>
      <w:outlineLvl w:val="5"/>
    </w:pPr>
    <w:rPr/>
  </w:style>
  <w:style w:type="paragraph" w:styleId="StandardL5">
    <w:name w:val="Standard_L5"/>
    <w:basedOn w:val="Normal"/>
    <w:qFormat/>
    <w:pPr>
      <w:numPr>
        <w:ilvl w:val="0"/>
        <w:numId w:val="2"/>
      </w:numPr>
      <w:jc w:val="start"/>
      <w:outlineLvl w:val="4"/>
    </w:pPr>
    <w:rPr/>
  </w:style>
  <w:style w:type="paragraph" w:styleId="StandardL4">
    <w:name w:val="Standard_L4"/>
    <w:basedOn w:val="Normal"/>
    <w:qFormat/>
    <w:pPr>
      <w:numPr>
        <w:ilvl w:val="0"/>
        <w:numId w:val="2"/>
      </w:numPr>
      <w:jc w:val="start"/>
      <w:outlineLvl w:val="3"/>
    </w:pPr>
    <w:rPr/>
  </w:style>
  <w:style w:type="paragraph" w:styleId="StandardL3">
    <w:name w:val="Standard_L3"/>
    <w:basedOn w:val="Normal"/>
    <w:qFormat/>
    <w:pPr>
      <w:numPr>
        <w:ilvl w:val="0"/>
        <w:numId w:val="2"/>
      </w:numPr>
      <w:jc w:val="start"/>
      <w:outlineLvl w:val="2"/>
    </w:pPr>
    <w:rPr/>
  </w:style>
  <w:style w:type="paragraph" w:styleId="StandardL2">
    <w:name w:val="Standard_L2"/>
    <w:basedOn w:val="Normal"/>
    <w:qFormat/>
    <w:pPr>
      <w:numPr>
        <w:ilvl w:val="0"/>
        <w:numId w:val="2"/>
      </w:numPr>
      <w:jc w:val="start"/>
      <w:outlineLvl w:val="1"/>
    </w:pPr>
    <w:rPr/>
  </w:style>
  <w:style w:type="paragraph" w:styleId="StandardL1">
    <w:name w:val="Standard_L1"/>
    <w:basedOn w:val="Normal"/>
    <w:qFormat/>
    <w:pPr>
      <w:numPr>
        <w:ilvl w:val="0"/>
        <w:numId w:val="2"/>
      </w:numPr>
      <w:outlineLvl w:val="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2000-09-21T04:20:00Z</dcterms:created>
  <dc:creator>MD</dc:creator>
  <dc:description/>
  <dc:language>en-CA</dc:language>
  <cp:lastModifiedBy>MD</cp:lastModifiedBy>
  <cp:lastPrinted>2000-09-21T03:40:00Z</cp:lastPrinted>
  <dcterms:modified xsi:type="dcterms:W3CDTF">2000-09-21T07:34:00Z</dcterms:modified>
  <cp:revision>8</cp:revision>
  <dc:subject/>
  <dc:title>MacPac 8.0 Normal template</dc:title>
</cp:coreProperties>
</file>