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sz w:val="18"/>
        </w:rPr>
      </w:pPr>
      <w:r>
        <w:rPr>
          <w:sz w:val="20"/>
        </w:rPr>
        <w:t>CONFIRMATION</w:t>
      </w:r>
    </w:p>
    <w:p>
      <w:pPr>
        <w:pStyle w:val="Normal"/>
        <w:widowControl/>
        <w:jc w:val="center"/>
        <w:rPr>
          <w:sz w:val="18"/>
        </w:rPr>
      </w:pPr>
      <w:r>
        <w:rPr>
          <w:sz w:val="18"/>
        </w:rPr>
      </w:r>
    </w:p>
    <w:p>
      <w:pPr>
        <w:pStyle w:val="Normal"/>
        <w:widowControl/>
        <w:jc w:val="both"/>
        <w:rPr>
          <w:sz w:val="20"/>
        </w:rPr>
      </w:pPr>
      <w:r>
        <w:rPr>
          <w:sz w:val="20"/>
        </w:rPr>
        <w:t xml:space="preserve">Date: </w:t>
        <w:tab/>
        <w:tab/>
        <w:t>April 4, 2001</w:t>
      </w:r>
    </w:p>
    <w:p>
      <w:pPr>
        <w:pStyle w:val="Normal"/>
        <w:widowControl/>
        <w:jc w:val="both"/>
        <w:rPr>
          <w:sz w:val="18"/>
        </w:rPr>
      </w:pPr>
      <w:r>
        <w:rPr>
          <w:sz w:val="18"/>
        </w:rPr>
      </w:r>
    </w:p>
    <w:p>
      <w:pPr>
        <w:pStyle w:val="Normal"/>
        <w:widowControl/>
        <w:jc w:val="both"/>
        <w:rPr>
          <w:sz w:val="20"/>
        </w:rPr>
      </w:pPr>
      <w:r>
        <w:rPr>
          <w:sz w:val="20"/>
        </w:rPr>
        <w:t xml:space="preserve">To: </w:t>
        <w:tab/>
        <w:tab/>
        <w:t>Compagnie de Papiers Stadacona Ltee (Party “B”)</w:t>
      </w:r>
    </w:p>
    <w:p>
      <w:pPr>
        <w:pStyle w:val="Normal"/>
        <w:widowControl/>
        <w:jc w:val="both"/>
        <w:rPr>
          <w:sz w:val="18"/>
        </w:rPr>
      </w:pPr>
      <w:r>
        <w:rPr>
          <w:sz w:val="18"/>
        </w:rPr>
      </w:r>
    </w:p>
    <w:p>
      <w:pPr>
        <w:pStyle w:val="Normal"/>
        <w:widowControl/>
        <w:jc w:val="both"/>
        <w:rPr>
          <w:sz w:val="20"/>
        </w:rPr>
      </w:pPr>
      <w:r>
        <w:rPr>
          <w:sz w:val="20"/>
        </w:rPr>
        <w:t>Attention:</w:t>
        <w:tab/>
        <w:t>Bob Crane</w:t>
      </w:r>
    </w:p>
    <w:p>
      <w:pPr>
        <w:pStyle w:val="Normal"/>
        <w:widowControl/>
        <w:jc w:val="both"/>
        <w:rPr>
          <w:sz w:val="18"/>
        </w:rPr>
      </w:pPr>
      <w:r>
        <w:rPr>
          <w:sz w:val="18"/>
        </w:rPr>
      </w:r>
    </w:p>
    <w:p>
      <w:pPr>
        <w:pStyle w:val="Normal"/>
        <w:widowControl/>
        <w:jc w:val="both"/>
        <w:rPr>
          <w:sz w:val="20"/>
        </w:rPr>
      </w:pPr>
      <w:r>
        <w:rPr>
          <w:sz w:val="20"/>
        </w:rPr>
        <w:t xml:space="preserve">Fax No. </w:t>
        <w:tab/>
        <w:tab/>
        <w:t>713-646-3253</w:t>
      </w:r>
    </w:p>
    <w:p>
      <w:pPr>
        <w:pStyle w:val="Normal"/>
        <w:widowControl/>
        <w:jc w:val="both"/>
        <w:rPr>
          <w:sz w:val="18"/>
        </w:rPr>
      </w:pPr>
      <w:r>
        <w:rPr>
          <w:sz w:val="18"/>
        </w:rPr>
      </w:r>
    </w:p>
    <w:p>
      <w:pPr>
        <w:pStyle w:val="Normal"/>
        <w:widowControl/>
        <w:jc w:val="both"/>
        <w:rPr>
          <w:sz w:val="20"/>
        </w:rPr>
      </w:pPr>
      <w:r>
        <w:rPr>
          <w:sz w:val="20"/>
        </w:rPr>
        <w:t>From:</w:t>
        <w:tab/>
        <w:tab/>
        <w:t>Risk Management &amp; Trading Corp. (“Party A”)</w:t>
      </w:r>
    </w:p>
    <w:p>
      <w:pPr>
        <w:pStyle w:val="Normal"/>
        <w:widowControl/>
        <w:jc w:val="both"/>
        <w:rPr>
          <w:sz w:val="18"/>
        </w:rPr>
      </w:pPr>
      <w:r>
        <w:rPr>
          <w:sz w:val="18"/>
        </w:rPr>
      </w:r>
    </w:p>
    <w:p>
      <w:pPr>
        <w:pStyle w:val="Normal"/>
        <w:widowControl/>
        <w:jc w:val="both"/>
        <w:rPr/>
      </w:pPr>
      <w:r>
        <w:rPr>
          <w:sz w:val="20"/>
        </w:rPr>
        <w:t>RE:</w:t>
        <w:tab/>
        <w:tab/>
        <w:t xml:space="preserve">Foreign Exchange Transaction, Deal No. </w:t>
      </w:r>
      <w:r>
        <w:rPr>
          <w:color w:val="FF0000"/>
          <w:sz w:val="20"/>
        </w:rPr>
        <w:t>M439607</w:t>
      </w:r>
    </w:p>
    <w:p>
      <w:pPr>
        <w:pStyle w:val="Normal"/>
        <w:widowControl/>
        <w:jc w:val="both"/>
        <w:rPr>
          <w:color w:val="FF0000"/>
          <w:sz w:val="18"/>
        </w:rPr>
      </w:pPr>
      <w:r>
        <w:rPr>
          <w:color w:val="FF0000"/>
          <w:sz w:val="18"/>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18"/>
        </w:rPr>
      </w:pPr>
      <w:r>
        <w:rPr>
          <w:sz w:val="18"/>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18"/>
        </w:rPr>
      </w:pPr>
      <w:r>
        <w:rPr>
          <w:sz w:val="18"/>
        </w:rPr>
      </w:r>
    </w:p>
    <w:p>
      <w:pPr>
        <w:pStyle w:val="Normal"/>
        <w:widowControl/>
        <w:jc w:val="both"/>
        <w:rPr>
          <w:sz w:val="20"/>
        </w:rPr>
      </w:pPr>
      <w:r>
        <w:rPr>
          <w:sz w:val="20"/>
        </w:rPr>
        <w:t xml:space="preserve">1.  </w:t>
        <w:tab/>
        <w:t>This Confirmation supplements, forms part of, and is subject to, the ISDA Master Agreement dated as of April 4, 2001 as amended and supplemented from time to time (the “Agreement”), between you and us.  All provisions contained in the Agreement govern this Confirmation except as expressly modified below.</w:t>
      </w:r>
    </w:p>
    <w:p>
      <w:pPr>
        <w:pStyle w:val="Normal"/>
        <w:widowControl/>
        <w:jc w:val="both"/>
        <w:rPr>
          <w:sz w:val="18"/>
        </w:rPr>
      </w:pPr>
      <w:r>
        <w:rPr>
          <w:sz w:val="18"/>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b/>
          <w:sz w:val="18"/>
        </w:rPr>
      </w:pPr>
      <w:r>
        <w:rPr>
          <w:b/>
          <w:sz w:val="18"/>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pacing w:before="60" w:after="0"/>
              <w:ind w:start="720" w:end="0"/>
              <w:jc w:val="both"/>
              <w:rPr>
                <w:sz w:val="20"/>
              </w:rPr>
            </w:pPr>
            <w:r>
              <w:rPr>
                <w:sz w:val="20"/>
              </w:rPr>
              <w:t>Trade Date:</w:t>
            </w:r>
          </w:p>
        </w:tc>
        <w:tc>
          <w:tcPr>
            <w:tcW w:w="5328" w:type="dxa"/>
            <w:tcBorders/>
          </w:tcPr>
          <w:p>
            <w:pPr>
              <w:pStyle w:val="Normal"/>
              <w:widowControl/>
              <w:spacing w:before="60" w:after="0"/>
              <w:jc w:val="both"/>
              <w:rPr>
                <w:sz w:val="20"/>
              </w:rPr>
            </w:pPr>
            <w:r>
              <w:rPr>
                <w:sz w:val="20"/>
              </w:rPr>
              <w:t>April 4, 2001</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tcBorders/>
          </w:tcPr>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tcBorders/>
          </w:tcPr>
          <w:p>
            <w:pPr>
              <w:pStyle w:val="Normal"/>
              <w:widowControl/>
              <w:spacing w:before="60" w:after="0"/>
              <w:jc w:val="both"/>
              <w:rPr>
                <w:sz w:val="20"/>
              </w:rPr>
            </w:pPr>
            <w:r>
              <w:rPr>
                <w:sz w:val="20"/>
              </w:rPr>
              <w:t>Party A</w:t>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5328" w:type="dxa"/>
            <w:tcBorders/>
          </w:tcPr>
          <w:p>
            <w:pPr>
              <w:pStyle w:val="Normal"/>
              <w:widowControl/>
              <w:spacing w:before="60" w:after="0"/>
              <w:jc w:val="both"/>
              <w:rPr>
                <w:sz w:val="20"/>
              </w:rPr>
            </w:pPr>
            <w:r>
              <w:rPr>
                <w:sz w:val="20"/>
              </w:rPr>
              <w:t>USD-Bank of America,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3751443337</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pacing w:before="60" w:after="0"/>
              <w:jc w:val="both"/>
              <w:rPr>
                <w:sz w:val="20"/>
              </w:rPr>
            </w:pPr>
            <w:r>
              <w:rPr>
                <w:sz w:val="20"/>
              </w:rPr>
              <w:t>REF: ENA-Co. # 01Y2</w:t>
            </w:r>
          </w:p>
          <w:p>
            <w:pPr>
              <w:pStyle w:val="Normal"/>
              <w:widowControl/>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BodyText3"/>
        <w:widowContro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Compagnie de Papiers Stadacona Ltee</w:t>
      </w:r>
    </w:p>
    <w:p>
      <w:pPr>
        <w:pStyle w:val="Normal"/>
        <w:widowControl/>
        <w:jc w:val="both"/>
        <w:rPr>
          <w:sz w:val="20"/>
        </w:rPr>
      </w:pPr>
      <w:r>
        <w:rPr>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p>
      <w:pPr>
        <w:pStyle w:val="Normal"/>
        <w:widowControl/>
        <w:jc w:val="both"/>
        <w:rPr>
          <w:sz w:val="20"/>
          <w:u w:val="single"/>
        </w:rPr>
      </w:pPr>
      <w:r>
        <w:rPr>
          <w:sz w:val="20"/>
          <w:u w:val="single"/>
        </w:rPr>
      </w:r>
      <w:r>
        <w:br w:type="page"/>
      </w:r>
    </w:p>
    <w:p>
      <w:pPr>
        <w:pStyle w:val="Heading1"/>
        <w:ind w:hanging="0" w:start="0"/>
        <w:rPr/>
      </w:pPr>
      <w:r>
        <w:rPr/>
        <w:t>Attachment A</w:t>
      </w:r>
    </w:p>
    <w:p>
      <w:pPr>
        <w:pStyle w:val="Normal"/>
        <w:widowControl/>
        <w:jc w:val="center"/>
        <w:rPr>
          <w:sz w:val="20"/>
          <w:u w:val="single"/>
        </w:rPr>
      </w:pPr>
      <w:r>
        <w:rPr>
          <w:sz w:val="20"/>
          <w:u w:val="single"/>
        </w:rPr>
      </w:r>
    </w:p>
    <w:tbl>
      <w:tblPr>
        <w:tblW w:w="8856" w:type="dxa"/>
        <w:jc w:val="start"/>
        <w:tblInd w:w="0" w:type="dxa"/>
        <w:tblLayout w:type="fixed"/>
        <w:tblCellMar>
          <w:top w:w="0" w:type="dxa"/>
          <w:start w:w="108" w:type="dxa"/>
          <w:bottom w:w="0" w:type="dxa"/>
          <w:end w:w="108" w:type="dxa"/>
        </w:tblCellMar>
      </w:tblPr>
      <w:tblGrid>
        <w:gridCol w:w="2952"/>
        <w:gridCol w:w="2916"/>
        <w:gridCol w:w="2988"/>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Settlement Date*</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A</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B</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8,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22,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29,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5,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12,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26,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415,693.00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263,652.51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10,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17,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24,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7,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14,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21,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28,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4,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11,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18,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25,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9,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16,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23,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30,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6,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13,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20,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27,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4,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11,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18,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27, 2001</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1,730,864.00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1,097,797.26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8,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15,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12,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19,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16,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23,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7,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14,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21,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28,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2,350,873.00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1,491,036.81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4,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11,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18,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16,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23,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30,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13,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20,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27,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10,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17,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24,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1,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8,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15,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5,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12,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19,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26,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10,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17,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24,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2002</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3,621,757.00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2,297,092.61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7,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14,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21,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28,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11,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11,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18,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1,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15,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29,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6,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13,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20,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27,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10,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17,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15,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29,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19,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26,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9,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16,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23,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7,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14,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21,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4,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18,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25,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9,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16,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23,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30, 2003</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CAD 3,862,210.00</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2,449,599.47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the Modified Following Business Day Convention</w:t>
      </w:r>
    </w:p>
    <w:p>
      <w:pPr>
        <w:pStyle w:val="Normal"/>
        <w:widowControl/>
        <w:jc w:val="both"/>
        <w:rPr>
          <w:sz w:val="18"/>
        </w:rPr>
      </w:pPr>
      <w:r>
        <w:rPr>
          <w:sz w:val="18"/>
        </w:rPr>
      </w:r>
    </w:p>
    <w:sectPr>
      <w:headerReference w:type="default" r:id="rId3"/>
      <w:headerReference w:type="first" r:id="rId4"/>
      <w:footerReference w:type="default" r:id="rId5"/>
      <w:footerReference w:type="first" r:id="rId6"/>
      <w:type w:val="nextPage"/>
      <w:pgSz w:w="12240" w:h="15840"/>
      <w:pgMar w:left="1800" w:right="1800" w:gutter="0" w:header="720" w:top="864"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M439607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2001-05-01T13:37:00Z</dcterms:created>
  <dc:creator>ECT</dc:creator>
  <dc:description/>
  <dc:language>en-CA</dc:language>
  <cp:lastModifiedBy>ladams</cp:lastModifiedBy>
  <cp:lastPrinted>2001-04-13T07:06:00Z</cp:lastPrinted>
  <dcterms:modified xsi:type="dcterms:W3CDTF">2001-05-01T13:39:00Z</dcterms:modified>
  <cp:revision>3</cp:revision>
  <dc:subject/>
  <dc:title> </dc:title>
</cp:coreProperties>
</file>