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sz w:val="20"/>
              </w:rPr>
            </w:pPr>
            <w:r>
              <w:rPr>
                <w:b/>
                <w:sz w:val="20"/>
              </w:rPr>
              <w:t>Risk Management &amp; Trading Corp</w:t>
            </w:r>
          </w:p>
          <w:p>
            <w:pPr>
              <w:pStyle w:val="Normal"/>
              <w:tabs>
                <w:tab w:val="clear" w:pos="720"/>
                <w:tab w:val="left" w:pos="2412" w:leader="none"/>
              </w:tabs>
              <w:jc w:val="end"/>
              <w:rPr>
                <w:sz w:val="20"/>
              </w:rPr>
            </w:pPr>
            <w:r>
              <w:rPr>
                <w:i/>
                <w:sz w:val="20"/>
              </w:rPr>
              <w:t>P.O. Box 4428</w:t>
            </w:r>
          </w:p>
          <w:p>
            <w:pPr>
              <w:pStyle w:val="Normal"/>
              <w:tabs>
                <w:tab w:val="clear" w:pos="720"/>
                <w:tab w:val="left" w:pos="2412" w:leader="none"/>
              </w:tabs>
              <w:jc w:val="end"/>
              <w:rPr>
                <w:sz w:val="20"/>
              </w:rPr>
            </w:pPr>
            <w:r>
              <w:rPr>
                <w:i/>
                <w:sz w:val="20"/>
              </w:rPr>
              <w:t>Houston, TX  77210-4428</w:t>
            </w:r>
          </w:p>
          <w:p>
            <w:pPr>
              <w:pStyle w:val="Normal"/>
              <w:tabs>
                <w:tab w:val="clear" w:pos="720"/>
                <w:tab w:val="left" w:pos="2412" w:leader="none"/>
              </w:tabs>
              <w:jc w:val="end"/>
              <w:rPr>
                <w:sz w:val="20"/>
              </w:rPr>
            </w:pPr>
            <w:r>
              <w:rPr>
                <w:i/>
                <w:sz w:val="20"/>
              </w:rPr>
              <w:t>Phone: (713) 853-3300</w:t>
            </w:r>
          </w:p>
          <w:p>
            <w:pPr>
              <w:pStyle w:val="Normal"/>
              <w:tabs>
                <w:tab w:val="clear" w:pos="720"/>
                <w:tab w:val="left" w:pos="2412" w:leader="none"/>
              </w:tabs>
              <w:jc w:val="end"/>
              <w:rPr>
                <w:i/>
                <w:i/>
                <w:sz w:val="20"/>
              </w:rPr>
            </w:pPr>
            <w:r>
              <w:rPr>
                <w:i/>
                <w:sz w:val="20"/>
              </w:rPr>
              <w:t>Fax:  (713) 646-4816</w:t>
            </w:r>
          </w:p>
          <w:p>
            <w:pPr>
              <w:pStyle w:val="Normal"/>
              <w:tabs>
                <w:tab w:val="clear" w:pos="720"/>
                <w:tab w:val="left" w:pos="2412" w:leader="none"/>
              </w:tabs>
              <w:rPr>
                <w:i/>
                <w:i/>
                <w:sz w:val="20"/>
              </w:rPr>
            </w:pPr>
            <w:r>
              <w:rPr>
                <w:i/>
                <w:sz w:val="20"/>
              </w:rPr>
            </w:r>
          </w:p>
        </w:tc>
      </w:tr>
    </w:tbl>
    <w:p>
      <w:pPr>
        <w:pStyle w:val="Caption"/>
        <w:widowControl/>
        <w:ind w:firstLine="720" w:start="288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widowContro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jc w:val="center"/>
                        <w:rPr>
                          <w:sz w:val="20"/>
                        </w:rPr>
                      </w:pPr>
                      <w:r>
                        <w:rPr>
                          <w:sz w:val="20"/>
                        </w:rPr>
                      </w:r>
                    </w:p>
                  </w:txbxContent>
                </v:textbox>
                <w10:wrap type="square"/>
              </v:rect>
            </w:pict>
          </mc:Fallback>
        </mc:AlternateContent>
      </w:r>
    </w:p>
    <w:p>
      <w:pPr>
        <w:pStyle w:val="Normal"/>
        <w:widowControl/>
        <w:rPr>
          <w:sz w:val="20"/>
        </w:rPr>
      </w:pPr>
      <w:r>
        <w:rPr>
          <w:sz w:val="20"/>
        </w:rPr>
      </w:r>
    </w:p>
    <w:p>
      <w:pPr>
        <w:pStyle w:val="Normal"/>
        <w:widowControl/>
        <w:jc w:val="both"/>
        <w:rPr>
          <w:sz w:val="20"/>
        </w:rPr>
      </w:pPr>
      <w:r>
        <w:rPr>
          <w:sz w:val="20"/>
        </w:rPr>
        <w:t>Date:</w:t>
        <w:tab/>
        <w:tab/>
        <w:t>November 13, 2000</w:t>
      </w:r>
    </w:p>
    <w:p>
      <w:pPr>
        <w:pStyle w:val="Normal"/>
        <w:widowControl/>
        <w:jc w:val="both"/>
        <w:rPr>
          <w:sz w:val="20"/>
        </w:rPr>
      </w:pPr>
      <w:r>
        <w:rPr>
          <w:sz w:val="20"/>
        </w:rPr>
      </w:r>
    </w:p>
    <w:p>
      <w:pPr>
        <w:pStyle w:val="Normal"/>
        <w:widowControl/>
        <w:jc w:val="both"/>
        <w:rPr/>
      </w:pPr>
      <w:r>
        <w:rPr>
          <w:sz w:val="20"/>
        </w:rPr>
        <w:t xml:space="preserve">To: </w:t>
        <w:tab/>
        <w:tab/>
      </w:r>
      <w:r>
        <w:rPr>
          <w:color w:val="FF0000"/>
          <w:sz w:val="20"/>
        </w:rPr>
        <w:t>Enron Corp.</w:t>
      </w:r>
      <w:r>
        <w:rPr>
          <w:sz w:val="20"/>
        </w:rPr>
        <w:t xml:space="preserve"> (“Counterparty”)</w:t>
      </w:r>
    </w:p>
    <w:p>
      <w:pPr>
        <w:pStyle w:val="Normal"/>
        <w:widowControl/>
        <w:jc w:val="both"/>
        <w:rPr>
          <w:sz w:val="20"/>
        </w:rPr>
      </w:pPr>
      <w:r>
        <w:rPr>
          <w:sz w:val="20"/>
        </w:rPr>
      </w:r>
    </w:p>
    <w:p>
      <w:pPr>
        <w:pStyle w:val="Normal"/>
        <w:widowControl/>
        <w:jc w:val="both"/>
        <w:rPr>
          <w:sz w:val="20"/>
        </w:rPr>
      </w:pPr>
      <w:r>
        <w:rPr>
          <w:sz w:val="20"/>
        </w:rPr>
        <w:t>Attention:</w:t>
        <w:tab/>
      </w:r>
      <w:r>
        <w:rPr>
          <w:color w:val="FF0000"/>
          <w:sz w:val="20"/>
        </w:rPr>
        <w:t>Jeff Nogid</w:t>
      </w:r>
    </w:p>
    <w:p>
      <w:pPr>
        <w:pStyle w:val="Normal"/>
        <w:widowControl/>
        <w:jc w:val="both"/>
        <w:rPr>
          <w:sz w:val="20"/>
        </w:rPr>
      </w:pPr>
      <w:r>
        <w:rPr>
          <w:sz w:val="20"/>
        </w:rPr>
      </w:r>
    </w:p>
    <w:p>
      <w:pPr>
        <w:pStyle w:val="Normal"/>
        <w:widowControl/>
        <w:jc w:val="both"/>
        <w:rPr>
          <w:sz w:val="20"/>
        </w:rPr>
      </w:pPr>
      <w:r>
        <w:rPr>
          <w:sz w:val="20"/>
        </w:rPr>
        <w:t>Fax No.:</w:t>
        <w:tab/>
        <w:tab/>
        <w:t>(713) 646-8517</w:t>
      </w:r>
    </w:p>
    <w:p>
      <w:pPr>
        <w:pStyle w:val="Normal"/>
        <w:widowControl/>
        <w:jc w:val="both"/>
        <w:rPr>
          <w:sz w:val="20"/>
        </w:rPr>
      </w:pPr>
      <w:r>
        <w:rPr>
          <w:sz w:val="20"/>
        </w:rPr>
      </w:r>
    </w:p>
    <w:p>
      <w:pPr>
        <w:pStyle w:val="Normal"/>
        <w:widowControl/>
        <w:jc w:val="both"/>
        <w:rPr>
          <w:sz w:val="20"/>
        </w:rPr>
      </w:pPr>
      <w:r>
        <w:rPr>
          <w:sz w:val="20"/>
        </w:rPr>
        <w:t>From:</w:t>
        <w:tab/>
        <w:tab/>
        <w:t>Risk Management &amp; Trading Corp. (“RMT”)</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M340229</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13,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15,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10, 2004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RMT Floating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Rate</w:t>
            </w:r>
          </w:p>
          <w:p>
            <w:pPr>
              <w:pStyle w:val="BodyTextIndent"/>
              <w:widowControl/>
              <w:tabs>
                <w:tab w:val="left" w:pos="90" w:leader="none"/>
                <w:tab w:val="left" w:pos="2160" w:leader="none"/>
                <w:tab w:val="left" w:pos="4140" w:leader="none"/>
                <w:tab w:val="left" w:pos="6480" w:leader="none"/>
              </w:tabs>
              <w:ind w:firstLine="720" w:start="0" w:end="0"/>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GBP 138,548,000.00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Rate</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Every December 21 and June 21 from and including December 21 2000 to and including December 21, 2003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Plus 0.75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GBP-LIBOR-BBA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Day Count Fraction: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6 months except the Initial Calculation Period which shall be Linear Interpolation of 1 and 2 months and the Final Calculation Period which shall be Linear Interpolation of 1 Week and 1 Month</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Counterparty 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Floating Rate</w:t>
            </w:r>
          </w:p>
          <w:p>
            <w:pPr>
              <w:pStyle w:val="BodyTextIndent"/>
              <w:widowControl/>
              <w:tabs>
                <w:tab w:val="left" w:pos="90" w:leader="none"/>
                <w:tab w:val="left" w:pos="2160" w:leader="none"/>
                <w:tab w:val="left" w:pos="4140" w:leader="none"/>
                <w:tab w:val="left" w:pos="6480" w:leader="none"/>
              </w:tabs>
              <w:ind w:hanging="90" w:start="720" w:end="0"/>
              <w:jc w:val="start"/>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USD 202,750,000.00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Floating Rate</w:t>
            </w:r>
          </w:p>
          <w:p>
            <w:pPr>
              <w:pStyle w:val="BodyTextIndent"/>
              <w:widowControl/>
              <w:tabs>
                <w:tab w:val="left" w:pos="90" w:leader="none"/>
                <w:tab w:val="left" w:pos="2160" w:leader="none"/>
                <w:tab w:val="left" w:pos="4140" w:leader="none"/>
                <w:tab w:val="left" w:pos="6480" w:leader="none"/>
              </w:tabs>
              <w:ind w:hanging="90"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Every December 21, March 21, June 21, and September 21, from and including December 21, 2000 to and including December 21, 2003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 months except the Initial Calculation Period which shall be Linear Interpolation of 1 and 2 months and the Final Calculation Period which shall be Linear Interpolation of 1 Week and 1 Month</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Counterparty 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Initial Exchange: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pPr>
            <w:r>
              <w:rPr/>
            </w:r>
          </w:p>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Initial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RMT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Counterparty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Final Exchange: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Final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Termination Date</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RMT Final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GBP 138,548,000.00</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 xml:space="preserve">Counterparty Final Exchange </w:t>
            </w:r>
          </w:p>
          <w:p>
            <w:pPr>
              <w:pStyle w:val="BodyTextIndent"/>
              <w:widowControl/>
              <w:tabs>
                <w:tab w:val="left" w:pos="90" w:leader="none"/>
                <w:tab w:val="left" w:pos="2160" w:leader="none"/>
                <w:tab w:val="left" w:pos="4140" w:leader="none"/>
                <w:tab w:val="left" w:pos="4320" w:leader="none"/>
                <w:tab w:val="left" w:pos="6480" w:leader="none"/>
              </w:tabs>
              <w:ind w:start="630" w:end="0"/>
              <w:rPr/>
            </w:pPr>
            <w:r>
              <w:rPr/>
              <w:t>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USD 202,750,000.00</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RMT</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RMT:</w:t>
            </w:r>
          </w:p>
        </w:tc>
        <w:tc>
          <w:tcPr>
            <w:tcW w:w="5328" w:type="dxa"/>
            <w:gridSpan w:val="2"/>
            <w:tcBorders/>
          </w:tcPr>
          <w:p>
            <w:pPr>
              <w:pStyle w:val="Normal"/>
              <w:widowControl/>
              <w:spacing w:before="60" w:after="0"/>
              <w:jc w:val="both"/>
              <w:rPr>
                <w:sz w:val="20"/>
              </w:rPr>
            </w:pPr>
            <w:r>
              <w:rPr>
                <w:sz w:val="20"/>
              </w:rPr>
              <w:t>To be advised</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Counterparty:</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specified in the Agreement</w:t>
            </w:r>
          </w:p>
        </w:tc>
      </w:tr>
    </w:tbl>
    <w:p>
      <w:pPr>
        <w:pStyle w:val="Normal"/>
        <w:widowControl/>
        <w:jc w:val="both"/>
        <w:rPr>
          <w:sz w:val="20"/>
        </w:rPr>
      </w:pPr>
      <w:r>
        <w:rPr>
          <w:sz w:val="20"/>
        </w:rPr>
      </w:r>
    </w:p>
    <w:p>
      <w:pPr>
        <w:pStyle w:val="Normal"/>
        <w:widowControl/>
        <w:jc w:val="both"/>
        <w:rPr>
          <w:sz w:val="20"/>
        </w:rPr>
      </w:pPr>
      <w:r>
        <w:rPr>
          <w:sz w:val="20"/>
        </w:rPr>
        <w:t>6. RMT identifies this Transaction as property being hedged for federal income tax purposes.  RMT identifies the hedging transaction (if any) for this Transaction using the aggregate risk method for federal income tax purposes.  For hedging transactions involving notional principal contracts, RMT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Counterparty identifies this Transaction as a hedging transaction for federal income tax purposes.  Counterparty hereby identifies the Floating Rate Payer Currency Amount described in this Confirmation as the property being hedged.  If Counterparty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BodyTextIndent"/>
        <w:tabs>
          <w:tab w:val="left" w:pos="90" w:leader="none"/>
          <w:tab w:val="left" w:pos="810" w:leader="none"/>
          <w:tab w:val="left" w:pos="2160" w:leader="none"/>
          <w:tab w:val="left" w:pos="4320" w:leader="none"/>
          <w:tab w:val="left" w:pos="6480" w:leader="none"/>
        </w:tabs>
        <w:ind w:start="0" w:end="0"/>
        <w:rPr>
          <w:sz w:val="20"/>
        </w:rPr>
      </w:pPr>
      <w:r>
        <w:rPr>
          <w:sz w:val="20"/>
        </w:rPr>
      </w:r>
    </w:p>
    <w:p>
      <w:pPr>
        <w:pStyle w:val="BodyTextIndent"/>
        <w:tabs>
          <w:tab w:val="left" w:pos="90" w:leader="none"/>
          <w:tab w:val="left" w:pos="810" w:leader="none"/>
          <w:tab w:val="left" w:pos="2160" w:leader="none"/>
          <w:tab w:val="left" w:pos="4320" w:leader="none"/>
          <w:tab w:val="left" w:pos="6480" w:leader="none"/>
        </w:tabs>
        <w:ind w:start="0" w:end="0"/>
        <w:rPr/>
      </w:pPr>
      <w:r>
        <w:rPr/>
        <w:t>If this Confirmation contains any error, please notify Risk Management &amp; Trading Corp. immediately.  Failure to notify RMT of a bona fide error in this Confirmation or failure to accept this Confirmation as provided in Section 1 of the Agreement after receipt by Counterparty shall result in this Confirmation being deemed binding as sent.</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t>We look forward to receiving your prompt reply.</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tab/>
        <w:tab/>
        <w:tab/>
        <w:tab/>
        <w:tab/>
        <w:tab/>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Enron Corp.</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M340229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2000-11-16T17:56:00Z</dcterms:created>
  <dc:creator>ECT</dc:creator>
  <dc:description/>
  <dc:language>en-CA</dc:language>
  <cp:lastModifiedBy>Melissa Balderas</cp:lastModifiedBy>
  <cp:lastPrinted>2000-11-16T17:29:00Z</cp:lastPrinted>
  <dcterms:modified xsi:type="dcterms:W3CDTF">2000-11-17T15:38:00Z</dcterms:modified>
  <cp:revision>8</cp:revision>
  <dc:subject/>
  <dc:title> 1400 Smith  Houston, TX 77002 (713) 853-3300 Fax (713) 646-4816</dc:title>
</cp:coreProperties>
</file>