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jc w:val="end"/>
              <w:rPr>
                <w:b/>
                <w:sz w:val="20"/>
              </w:rPr>
            </w:pPr>
            <w:r>
              <w:rPr>
                <w:b/>
                <w:sz w:val="20"/>
              </w:rPr>
              <w:t>Risk Management &amp; Trading Corp</w:t>
            </w:r>
          </w:p>
          <w:p>
            <w:pPr>
              <w:pStyle w:val="Normal"/>
              <w:tabs>
                <w:tab w:val="clear" w:pos="720"/>
                <w:tab w:val="left" w:pos="2412" w:leader="none"/>
              </w:tabs>
              <w:jc w:val="end"/>
              <w:rPr>
                <w:sz w:val="20"/>
              </w:rPr>
            </w:pPr>
            <w:r>
              <w:rPr>
                <w:i/>
                <w:sz w:val="20"/>
              </w:rPr>
              <w:t>P.O. Box 4428</w:t>
            </w:r>
          </w:p>
          <w:p>
            <w:pPr>
              <w:pStyle w:val="Normal"/>
              <w:tabs>
                <w:tab w:val="clear" w:pos="720"/>
                <w:tab w:val="left" w:pos="2412" w:leader="none"/>
              </w:tabs>
              <w:jc w:val="end"/>
              <w:rPr>
                <w:sz w:val="20"/>
              </w:rPr>
            </w:pPr>
            <w:r>
              <w:rPr>
                <w:i/>
                <w:sz w:val="20"/>
              </w:rPr>
              <w:t>Houston, TX  77210-4428</w:t>
            </w:r>
          </w:p>
          <w:p>
            <w:pPr>
              <w:pStyle w:val="Normal"/>
              <w:tabs>
                <w:tab w:val="clear" w:pos="720"/>
                <w:tab w:val="left" w:pos="2412" w:leader="none"/>
              </w:tabs>
              <w:jc w:val="end"/>
              <w:rPr>
                <w:sz w:val="20"/>
              </w:rPr>
            </w:pPr>
            <w:r>
              <w:rPr>
                <w:i/>
                <w:sz w:val="20"/>
              </w:rPr>
              <w:t>Phone: (713) 853-3300</w:t>
            </w:r>
          </w:p>
          <w:p>
            <w:pPr>
              <w:pStyle w:val="Normal"/>
              <w:tabs>
                <w:tab w:val="clear" w:pos="720"/>
                <w:tab w:val="left" w:pos="2412" w:leader="none"/>
              </w:tabs>
              <w:jc w:val="end"/>
              <w:rPr>
                <w:i/>
                <w:i/>
                <w:sz w:val="20"/>
              </w:rPr>
            </w:pPr>
            <w:r>
              <w:rPr>
                <w:i/>
                <w:sz w:val="20"/>
              </w:rPr>
              <w:t>Fax:  (713) 646-4816</w:t>
            </w:r>
          </w:p>
          <w:p>
            <w:pPr>
              <w:pStyle w:val="Normal"/>
              <w:tabs>
                <w:tab w:val="clear" w:pos="720"/>
                <w:tab w:val="left" w:pos="2412" w:leader="none"/>
              </w:tabs>
              <w:rPr>
                <w:i/>
                <w:i/>
                <w:sz w:val="20"/>
              </w:rPr>
            </w:pPr>
            <w:r>
              <w:rPr>
                <w:i/>
                <w:sz w:val="20"/>
              </w:rPr>
            </w:r>
          </w:p>
        </w:tc>
      </w:tr>
    </w:tbl>
    <w:p>
      <w:pPr>
        <w:pStyle w:val="Caption"/>
        <w:widowControl/>
        <w:ind w:firstLine="720" w:start="288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4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Normal"/>
                              <w:widowControl/>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jc w:val="center"/>
                        <w:rPr>
                          <w:sz w:val="20"/>
                        </w:rPr>
                      </w:pPr>
                      <w:r>
                        <w:rPr>
                          <w:sz w:val="20"/>
                        </w:rPr>
                      </w:r>
                    </w:p>
                  </w:txbxContent>
                </v:textbox>
                <w10:wrap type="square"/>
              </v:rect>
            </w:pict>
          </mc:Fallback>
        </mc:AlternateContent>
      </w:r>
    </w:p>
    <w:p>
      <w:pPr>
        <w:pStyle w:val="Normal"/>
        <w:widowControl/>
        <w:rPr>
          <w:sz w:val="20"/>
        </w:rPr>
      </w:pPr>
      <w:r>
        <w:rPr>
          <w:sz w:val="20"/>
        </w:rPr>
      </w:r>
    </w:p>
    <w:p>
      <w:pPr>
        <w:pStyle w:val="Normal"/>
        <w:widowControl/>
        <w:jc w:val="both"/>
        <w:rPr>
          <w:sz w:val="20"/>
        </w:rPr>
      </w:pPr>
      <w:r>
        <w:rPr>
          <w:sz w:val="20"/>
        </w:rPr>
        <w:t>Date:</w:t>
        <w:tab/>
        <w:tab/>
        <w:t>November 13, 2000</w:t>
      </w:r>
    </w:p>
    <w:p>
      <w:pPr>
        <w:pStyle w:val="Normal"/>
        <w:widowControl/>
        <w:jc w:val="both"/>
        <w:rPr>
          <w:sz w:val="20"/>
        </w:rPr>
      </w:pPr>
      <w:r>
        <w:rPr>
          <w:sz w:val="20"/>
        </w:rPr>
      </w:r>
    </w:p>
    <w:p>
      <w:pPr>
        <w:pStyle w:val="Normal"/>
        <w:widowControl/>
        <w:jc w:val="both"/>
        <w:rPr/>
      </w:pPr>
      <w:r>
        <w:rPr>
          <w:sz w:val="20"/>
        </w:rPr>
        <w:t xml:space="preserve">To: </w:t>
        <w:tab/>
        <w:tab/>
      </w:r>
      <w:r>
        <w:rPr>
          <w:color w:val="FF0000"/>
          <w:sz w:val="20"/>
        </w:rPr>
        <w:t>Enron Corp.</w:t>
      </w:r>
      <w:r>
        <w:rPr>
          <w:sz w:val="20"/>
        </w:rPr>
        <w:t xml:space="preserve"> (“Counterparty”)</w:t>
      </w:r>
    </w:p>
    <w:p>
      <w:pPr>
        <w:pStyle w:val="Normal"/>
        <w:widowControl/>
        <w:jc w:val="both"/>
        <w:rPr>
          <w:sz w:val="20"/>
        </w:rPr>
      </w:pPr>
      <w:r>
        <w:rPr>
          <w:sz w:val="20"/>
        </w:rPr>
      </w:r>
    </w:p>
    <w:p>
      <w:pPr>
        <w:pStyle w:val="Normal"/>
        <w:widowControl/>
        <w:jc w:val="both"/>
        <w:rPr>
          <w:sz w:val="20"/>
        </w:rPr>
      </w:pPr>
      <w:r>
        <w:rPr>
          <w:sz w:val="20"/>
        </w:rPr>
        <w:t>Attention:</w:t>
        <w:tab/>
      </w:r>
      <w:r>
        <w:rPr>
          <w:color w:val="FF0000"/>
          <w:sz w:val="20"/>
        </w:rPr>
        <w:t>???????</w:t>
      </w:r>
    </w:p>
    <w:p>
      <w:pPr>
        <w:pStyle w:val="Normal"/>
        <w:widowControl/>
        <w:jc w:val="both"/>
        <w:rPr>
          <w:sz w:val="20"/>
        </w:rPr>
      </w:pPr>
      <w:r>
        <w:rPr>
          <w:sz w:val="20"/>
        </w:rPr>
      </w:r>
    </w:p>
    <w:p>
      <w:pPr>
        <w:pStyle w:val="Normal"/>
        <w:widowControl/>
        <w:jc w:val="both"/>
        <w:rPr>
          <w:sz w:val="20"/>
        </w:rPr>
      </w:pPr>
      <w:r>
        <w:rPr>
          <w:sz w:val="20"/>
        </w:rPr>
        <w:t>Fax No.:</w:t>
        <w:tab/>
        <w:tab/>
        <w:t>???????</w:t>
      </w:r>
    </w:p>
    <w:p>
      <w:pPr>
        <w:pStyle w:val="Normal"/>
        <w:widowControl/>
        <w:jc w:val="both"/>
        <w:rPr>
          <w:sz w:val="20"/>
        </w:rPr>
      </w:pPr>
      <w:r>
        <w:rPr>
          <w:sz w:val="20"/>
        </w:rPr>
      </w:r>
    </w:p>
    <w:p>
      <w:pPr>
        <w:pStyle w:val="Normal"/>
        <w:widowControl/>
        <w:jc w:val="both"/>
        <w:rPr>
          <w:sz w:val="20"/>
        </w:rPr>
      </w:pPr>
      <w:r>
        <w:rPr>
          <w:sz w:val="20"/>
        </w:rPr>
        <w:t>From:</w:t>
        <w:tab/>
        <w:tab/>
        <w:t>Risk Management &amp; Trading Corp. (“RMT”)</w:t>
      </w:r>
    </w:p>
    <w:p>
      <w:pPr>
        <w:pStyle w:val="Normal"/>
        <w:widowControl/>
        <w:jc w:val="both"/>
        <w:rPr>
          <w:sz w:val="20"/>
        </w:rPr>
      </w:pPr>
      <w:r>
        <w:rPr>
          <w:sz w:val="20"/>
        </w:rPr>
      </w:r>
    </w:p>
    <w:p>
      <w:pPr>
        <w:pStyle w:val="Normal"/>
        <w:widowControl/>
        <w:jc w:val="both"/>
        <w:rPr/>
      </w:pPr>
      <w:r>
        <w:rPr>
          <w:sz w:val="20"/>
        </w:rPr>
        <w:t>RE:</w:t>
        <w:tab/>
        <w:tab/>
        <w:t xml:space="preserve">Swap Transaction; Deal No. </w:t>
      </w:r>
      <w:r>
        <w:rPr>
          <w:color w:val="FF0000"/>
          <w:sz w:val="20"/>
        </w:rPr>
        <w:t>M340229</w:t>
      </w:r>
    </w:p>
    <w:p>
      <w:pPr>
        <w:pStyle w:val="Normal"/>
        <w:widowControl/>
        <w:jc w:val="both"/>
        <w:rPr>
          <w:color w:val="FF0000"/>
          <w:sz w:val="20"/>
        </w:rPr>
      </w:pPr>
      <w:r>
        <w:rPr>
          <w:color w:val="FF0000"/>
          <w:sz w:val="20"/>
        </w:rPr>
      </w:r>
    </w:p>
    <w:p>
      <w:pPr>
        <w:pStyle w:val="Normal"/>
        <w:widowControl/>
        <w:jc w:val="both"/>
        <w:rPr>
          <w:sz w:val="20"/>
        </w:rPr>
      </w:pPr>
      <w:r>
        <w:rPr>
          <w:sz w:val="20"/>
        </w:rPr>
      </w:r>
    </w:p>
    <w:p>
      <w:pPr>
        <w:pStyle w:val="Normal"/>
        <w:widowControl/>
        <w:jc w:val="both"/>
        <w:rPr>
          <w:sz w:val="20"/>
        </w:rPr>
      </w:pPr>
      <w:r>
        <w:rPr>
          <w:sz w:val="20"/>
        </w:rPr>
        <w:t>The purpose of this letter agreement (this “Confirmation”) is to confirm the terms and conditions of the Transaction entered into between us on the Trade Date specified below (the “Transaction”). This letter constitutes a “Confirmation” as referred to in the ISDA Master Agreement specified below.</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The definitions and provisions contained in the 1991 ISDA Definitions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1.</w:t>
        <w:tab/>
        <w:t>This Confirmation supplements, forms part of, and is subject to, the ISDA Master Agreement dated as of March 31, 1997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sz w:val="20"/>
        </w:rPr>
      </w:pPr>
      <w:r>
        <w:rPr>
          <w:sz w:val="20"/>
        </w:rPr>
      </w:r>
    </w:p>
    <w:p>
      <w:pPr>
        <w:pStyle w:val="Normal"/>
        <w:widowControl/>
        <w:jc w:val="both"/>
        <w:rPr>
          <w:sz w:val="20"/>
        </w:rPr>
      </w:pPr>
      <w:r>
        <w:rPr>
          <w:sz w:val="20"/>
        </w:rPr>
      </w:r>
    </w:p>
    <w:p>
      <w:pPr>
        <w:pStyle w:val="BodyTextIndent"/>
        <w:widowControl/>
        <w:ind w:start="0" w:end="0"/>
        <w:rPr>
          <w:b/>
        </w:rPr>
      </w:pPr>
      <w:r>
        <w:rPr>
          <w:b/>
        </w:rPr>
        <w:t>General Terms:</w:t>
        <w:tab/>
      </w:r>
    </w:p>
    <w:p>
      <w:pPr>
        <w:pStyle w:val="BodyTextIndent"/>
        <w:widowControl/>
        <w:ind w:start="0" w:end="0"/>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Trade Date: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November 13, 2000</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November 15, 2000</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Termination Date: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January 10, 2004 subject to adjustment in accordance with the Modified Following Business Day Convention</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t xml:space="preserve">RMT Floating Amounts: </w:t>
      </w:r>
    </w:p>
    <w:p>
      <w:pPr>
        <w:pStyle w:val="BodyTextIndent"/>
        <w:widowControl/>
        <w:tabs>
          <w:tab w:val="left" w:pos="90" w:leader="none"/>
          <w:tab w:val="left" w:pos="2160" w:leader="none"/>
          <w:tab w:val="left" w:pos="4140" w:leader="none"/>
          <w:tab w:val="left" w:pos="6480" w:leader="none"/>
        </w:tabs>
        <w:ind w:hanging="720" w:start="0" w:end="0"/>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RMT Floating Rate Payer</w:t>
            </w:r>
          </w:p>
          <w:p>
            <w:pPr>
              <w:pStyle w:val="BodyTextIndent"/>
              <w:widowControl/>
              <w:tabs>
                <w:tab w:val="left" w:pos="90" w:leader="none"/>
                <w:tab w:val="left" w:pos="2160" w:leader="none"/>
                <w:tab w:val="left" w:pos="4140" w:leader="none"/>
                <w:tab w:val="left" w:pos="6480" w:leader="none"/>
              </w:tabs>
              <w:ind w:firstLine="720" w:start="0" w:end="0"/>
              <w:rPr/>
            </w:pPr>
            <w:r>
              <w:rPr/>
              <w:t>Currency Amount:</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GBP 138,548,000.00</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RMT Floating Rate Payer</w:t>
            </w:r>
          </w:p>
          <w:p>
            <w:pPr>
              <w:pStyle w:val="BodyTextIndent"/>
              <w:widowControl/>
              <w:tabs>
                <w:tab w:val="left" w:pos="90" w:leader="none"/>
                <w:tab w:val="left" w:pos="2160" w:leader="none"/>
                <w:tab w:val="left" w:pos="4140" w:leader="none"/>
                <w:tab w:val="left" w:pos="6480" w:leader="none"/>
              </w:tabs>
              <w:ind w:firstLine="720" w:start="0" w:end="0"/>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Every December 21 and June 21 from and including December 21 2000 to and including December 21, 2003 and the Termination Date, subject to adjustment in accordance with the Modified Following Business Day Convention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RMT Spread:</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Plus 0.75 percent</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RMT Floating Rate Option:</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GBP-LIBOR-BBA</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RMT Floating Day Count Fraction:</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Actual/365 (Fixed)</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RMT Designated Maturity:</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6 months except the Initial Calculation Period which shall be Linear Interpolation of 1 and 2 months and the Final Calculation Period which shall be Linear Interpolation of 1 Week and 1 Month</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Business Days for GBP</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London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0" w:end="0"/>
        <w:rPr/>
      </w:pPr>
      <w:r>
        <w:rPr>
          <w:b/>
        </w:rPr>
        <w:t>Counterparty Floating Amounts:</w:t>
      </w:r>
      <w:r>
        <w:rPr/>
        <w:t xml:space="preserve"> </w:t>
      </w:r>
    </w:p>
    <w:p>
      <w:pPr>
        <w:pStyle w:val="BodyTextIndent"/>
        <w:widowControl/>
        <w:tabs>
          <w:tab w:val="left" w:pos="90" w:leader="none"/>
          <w:tab w:val="left" w:pos="2160" w:leader="none"/>
          <w:tab w:val="left" w:pos="4140" w:leader="none"/>
          <w:tab w:val="left" w:pos="4320" w:leader="none"/>
          <w:tab w:val="left" w:pos="6480" w:leader="none"/>
        </w:tabs>
        <w:ind w:start="0" w:end="0"/>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Counterparty Floating Rate</w:t>
            </w:r>
          </w:p>
          <w:p>
            <w:pPr>
              <w:pStyle w:val="BodyTextIndent"/>
              <w:widowControl/>
              <w:tabs>
                <w:tab w:val="left" w:pos="90" w:leader="none"/>
                <w:tab w:val="left" w:pos="2160" w:leader="none"/>
                <w:tab w:val="left" w:pos="4140" w:leader="none"/>
                <w:tab w:val="left" w:pos="6480" w:leader="none"/>
              </w:tabs>
              <w:ind w:hanging="90" w:start="720" w:end="0"/>
              <w:jc w:val="start"/>
              <w:rPr/>
            </w:pPr>
            <w:r>
              <w:rPr/>
              <w:t>Payer Currency Amount:</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USD 202,750,000.00</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Counterparty Floating Rate</w:t>
            </w:r>
          </w:p>
          <w:p>
            <w:pPr>
              <w:pStyle w:val="BodyTextIndent"/>
              <w:widowControl/>
              <w:tabs>
                <w:tab w:val="left" w:pos="90" w:leader="none"/>
                <w:tab w:val="left" w:pos="2160" w:leader="none"/>
                <w:tab w:val="left" w:pos="4140" w:leader="none"/>
                <w:tab w:val="left" w:pos="6480" w:leader="none"/>
              </w:tabs>
              <w:ind w:hanging="90" w:start="720" w:end="0"/>
              <w:jc w:val="start"/>
              <w:rPr/>
            </w:pPr>
            <w:r>
              <w:rPr/>
              <w:t>Payer 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Every December 21, March 21, June 21, and September 21, from and including December 21, 2000 to and including December 21, 2003 and the Termination Date, subject to adjustment in accordance with the Modified Following Business Day Convention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Counterparty Spread:</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None</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Counterparty Floating Rate Option:</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USD-LIBOR-BBA</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Counterparty Designated Maturity</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3 months except the Initial Calculation Period which shall be Linear Interpolation of 1 and 2 months and the Final Calculation Period which shall be Linear Interpolation of 1 Week and 1 Month</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 xml:space="preserve">Counterparty Floating Rate </w:t>
            </w:r>
          </w:p>
          <w:p>
            <w:pPr>
              <w:pStyle w:val="BodyTextIndent"/>
              <w:widowControl/>
              <w:tabs>
                <w:tab w:val="left" w:pos="90" w:leader="none"/>
                <w:tab w:val="left" w:pos="2160" w:leader="none"/>
                <w:tab w:val="left" w:pos="4140" w:leader="none"/>
                <w:tab w:val="left" w:pos="6480" w:leader="none"/>
              </w:tabs>
              <w:ind w:hanging="90" w:start="720" w:end="0"/>
              <w:jc w:val="start"/>
              <w:rPr/>
            </w:pPr>
            <w:r>
              <w:rPr/>
              <w:t xml:space="preserve">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Actual/360</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Business Days for USD</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New York, London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0" w:end="0"/>
        <w:rPr/>
      </w:pPr>
      <w:r>
        <w:rPr/>
        <w:t>Initial Exchange:</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snapToGrid w:val="false"/>
              <w:ind w:start="630" w:end="0"/>
              <w:jc w:val="start"/>
              <w:rPr/>
            </w:pPr>
            <w:r>
              <w:rPr/>
            </w:r>
          </w:p>
          <w:p>
            <w:pPr>
              <w:pStyle w:val="BodyTextIndent"/>
              <w:widowControl/>
              <w:tabs>
                <w:tab w:val="clear" w:pos="90"/>
                <w:tab w:val="left" w:pos="720" w:leader="none"/>
                <w:tab w:val="left" w:pos="2160" w:leader="none"/>
                <w:tab w:val="left" w:pos="4140" w:leader="none"/>
                <w:tab w:val="left" w:pos="4320" w:leader="none"/>
                <w:tab w:val="left" w:pos="6480" w:leader="none"/>
              </w:tabs>
              <w:ind w:start="630" w:end="0"/>
              <w:jc w:val="start"/>
              <w:rPr/>
            </w:pPr>
            <w:r>
              <w:rPr/>
              <w:t>Initial Exchange Date:</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4320" w:leader="none"/>
                <w:tab w:val="left" w:pos="6480" w:leader="none"/>
              </w:tabs>
              <w:ind w:start="0" w:end="0"/>
              <w:rPr/>
            </w:pPr>
            <w:r>
              <w:rPr/>
              <w:t>Not Applicable</w:t>
            </w:r>
          </w:p>
        </w:tc>
      </w:tr>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snapToGrid w:val="false"/>
              <w:ind w:start="63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ind w:start="630" w:end="0"/>
              <w:jc w:val="start"/>
              <w:rPr/>
            </w:pPr>
            <w:r>
              <w:rPr/>
              <w:t>RMT Initial Exchange Amount:</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Not Applicable</w:t>
            </w:r>
          </w:p>
        </w:tc>
      </w:tr>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snapToGrid w:val="false"/>
              <w:ind w:start="63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ind w:start="630" w:end="0"/>
              <w:jc w:val="start"/>
              <w:rPr/>
            </w:pPr>
            <w:r>
              <w:rPr/>
              <w:t>Counterparty Initial Exchange Amount:</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Not Applicable</w:t>
            </w:r>
          </w:p>
          <w:p>
            <w:pPr>
              <w:pStyle w:val="BodyTextIndent"/>
              <w:widowControl/>
              <w:tabs>
                <w:tab w:val="left" w:pos="90" w:leader="none"/>
                <w:tab w:val="left" w:pos="2160" w:leader="none"/>
                <w:tab w:val="left" w:pos="4140" w:leader="none"/>
                <w:tab w:val="left" w:pos="4320" w:leader="none"/>
                <w:tab w:val="left" w:pos="6480" w:leader="none"/>
              </w:tabs>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0" w:end="0"/>
        <w:rPr/>
      </w:pPr>
      <w:r>
        <w:rPr/>
      </w:r>
    </w:p>
    <w:p>
      <w:pPr>
        <w:pStyle w:val="BodyTextIndent"/>
        <w:widowControl/>
        <w:tabs>
          <w:tab w:val="left" w:pos="90" w:leader="none"/>
          <w:tab w:val="left" w:pos="2160" w:leader="none"/>
          <w:tab w:val="left" w:pos="4140" w:leader="none"/>
          <w:tab w:val="left" w:pos="4320" w:leader="none"/>
          <w:tab w:val="left" w:pos="6480" w:leader="none"/>
        </w:tabs>
        <w:ind w:start="0" w:end="0"/>
        <w:rPr/>
      </w:pPr>
      <w:r>
        <w:rPr/>
        <w:t>Final Exchange:</w:t>
      </w:r>
    </w:p>
    <w:p>
      <w:pPr>
        <w:pStyle w:val="BodyTextIndent"/>
        <w:widowControl/>
        <w:tabs>
          <w:tab w:val="left" w:pos="90" w:leader="none"/>
          <w:tab w:val="left" w:pos="2160" w:leader="none"/>
          <w:tab w:val="left" w:pos="4140" w:leader="none"/>
          <w:tab w:val="left" w:pos="4320" w:leader="none"/>
          <w:tab w:val="left" w:pos="6480" w:leader="none"/>
        </w:tabs>
        <w:ind w:start="0" w:end="0"/>
        <w:rPr/>
      </w:pPr>
      <w:r>
        <w:rPr/>
      </w:r>
    </w:p>
    <w:tbl>
      <w:tblPr>
        <w:tblW w:w="8856" w:type="dxa"/>
        <w:jc w:val="start"/>
        <w:tblInd w:w="0" w:type="dxa"/>
        <w:tblLayout w:type="fixed"/>
        <w:tblCellMar>
          <w:top w:w="0" w:type="dxa"/>
          <w:start w:w="108" w:type="dxa"/>
          <w:bottom w:w="0" w:type="dxa"/>
          <w:end w:w="108" w:type="dxa"/>
        </w:tblCellMar>
      </w:tblPr>
      <w:tblGrid>
        <w:gridCol w:w="3528"/>
        <w:gridCol w:w="900"/>
        <w:gridCol w:w="4428"/>
      </w:tblGrid>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ind w:start="630" w:end="0"/>
              <w:rPr/>
            </w:pPr>
            <w:r>
              <w:rPr/>
              <w:t>Final Exchange Date:</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Termination Date</w:t>
            </w:r>
          </w:p>
        </w:tc>
      </w:tr>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63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0" w:end="0"/>
              <w:rPr/>
            </w:pPr>
            <w:r>
              <w:rPr/>
            </w:r>
          </w:p>
        </w:tc>
      </w:tr>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ind w:start="630" w:end="0"/>
              <w:rPr/>
            </w:pPr>
            <w:r>
              <w:rPr/>
              <w:t>RMT Final Exchange Amount:</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GBP 138,548,000.00</w:t>
            </w:r>
          </w:p>
        </w:tc>
      </w:tr>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63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0" w:end="0"/>
              <w:rPr/>
            </w:pPr>
            <w:r>
              <w:rPr/>
            </w:r>
          </w:p>
        </w:tc>
      </w:tr>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ind w:start="630" w:end="0"/>
              <w:rPr/>
            </w:pPr>
            <w:r>
              <w:rPr/>
              <w:t xml:space="preserve">Counterparty Final Exchange </w:t>
            </w:r>
          </w:p>
          <w:p>
            <w:pPr>
              <w:pStyle w:val="BodyTextIndent"/>
              <w:widowControl/>
              <w:tabs>
                <w:tab w:val="left" w:pos="90" w:leader="none"/>
                <w:tab w:val="left" w:pos="2160" w:leader="none"/>
                <w:tab w:val="left" w:pos="4140" w:leader="none"/>
                <w:tab w:val="left" w:pos="4320" w:leader="none"/>
                <w:tab w:val="left" w:pos="6480" w:leader="none"/>
              </w:tabs>
              <w:ind w:start="630" w:end="0"/>
              <w:rPr/>
            </w:pPr>
            <w:r>
              <w:rPr/>
              <w:t>Amount:</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USD 202,750,000.00</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3. Calculation Agent:</w:t>
            </w:r>
          </w:p>
        </w:tc>
        <w:tc>
          <w:tcPr>
            <w:tcW w:w="5328" w:type="dxa"/>
            <w:gridSpan w:val="2"/>
            <w:tcBorders/>
          </w:tcPr>
          <w:p>
            <w:pPr>
              <w:pStyle w:val="Normal"/>
              <w:widowControl/>
              <w:spacing w:before="60" w:after="0"/>
              <w:jc w:val="both"/>
              <w:rPr>
                <w:sz w:val="20"/>
              </w:rPr>
            </w:pPr>
            <w:r>
              <w:rPr>
                <w:sz w:val="20"/>
              </w:rPr>
              <w:t>RMT</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4. Account Details:</w:t>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Payments to RMT:</w:t>
            </w:r>
          </w:p>
        </w:tc>
        <w:tc>
          <w:tcPr>
            <w:tcW w:w="5328" w:type="dxa"/>
            <w:gridSpan w:val="2"/>
            <w:tcBorders/>
          </w:tcPr>
          <w:p>
            <w:pPr>
              <w:pStyle w:val="Normal"/>
              <w:widowControl/>
              <w:spacing w:before="60" w:after="0"/>
              <w:jc w:val="both"/>
              <w:rPr>
                <w:sz w:val="20"/>
              </w:rPr>
            </w:pPr>
            <w:r>
              <w:rPr>
                <w:sz w:val="20"/>
              </w:rPr>
              <w:t>To be advised</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Payments to Counterparty:</w:t>
            </w:r>
          </w:p>
        </w:tc>
        <w:tc>
          <w:tcPr>
            <w:tcW w:w="5328" w:type="dxa"/>
            <w:gridSpan w:val="2"/>
            <w:tcBorders/>
          </w:tcPr>
          <w:p>
            <w:pPr>
              <w:pStyle w:val="Normal"/>
              <w:widowControl/>
              <w:spacing w:before="60" w:after="0"/>
              <w:jc w:val="both"/>
              <w:rPr>
                <w:sz w:val="20"/>
              </w:rPr>
            </w:pPr>
            <w:r>
              <w:rPr>
                <w:sz w:val="20"/>
              </w:rPr>
              <w:t>Please advise</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5. Governing Law</w:t>
            </w:r>
          </w:p>
        </w:tc>
        <w:tc>
          <w:tcPr>
            <w:tcW w:w="5328" w:type="dxa"/>
            <w:gridSpan w:val="2"/>
            <w:tcBorders/>
          </w:tcPr>
          <w:p>
            <w:pPr>
              <w:pStyle w:val="Normal"/>
              <w:widowControl/>
              <w:spacing w:before="60" w:after="0"/>
              <w:jc w:val="both"/>
              <w:rPr>
                <w:sz w:val="20"/>
              </w:rPr>
            </w:pPr>
            <w:r>
              <w:rPr>
                <w:sz w:val="20"/>
              </w:rPr>
              <w:t>As specified in the Agreement</w:t>
            </w:r>
          </w:p>
        </w:tc>
      </w:tr>
    </w:tbl>
    <w:p>
      <w:pPr>
        <w:pStyle w:val="Normal"/>
        <w:widowControl/>
        <w:jc w:val="both"/>
        <w:rPr>
          <w:sz w:val="20"/>
        </w:rPr>
      </w:pPr>
      <w:r>
        <w:rPr>
          <w:sz w:val="20"/>
        </w:rPr>
      </w:r>
    </w:p>
    <w:p>
      <w:pPr>
        <w:pStyle w:val="Normal"/>
        <w:widowControl/>
        <w:jc w:val="both"/>
        <w:rPr>
          <w:sz w:val="20"/>
        </w:rPr>
      </w:pPr>
      <w:r>
        <w:rPr>
          <w:sz w:val="20"/>
        </w:rPr>
        <w:t>6. RMT identifies this Transaction as property being hedged for federal income tax purposes.  RMT identifies the hedging transaction (if any) for this Transaction using the aggregate risk method for federal income tax purposes.  For hedging transactions involving notional principal contracts, RMT uses the method of tax accounting set forth in Treasury Regulation section 1.446-3.</w:t>
      </w:r>
    </w:p>
    <w:p>
      <w:pPr>
        <w:pStyle w:val="Normal"/>
        <w:widowControl/>
        <w:rPr>
          <w:sz w:val="20"/>
        </w:rPr>
      </w:pPr>
      <w:r>
        <w:rPr>
          <w:sz w:val="20"/>
        </w:rPr>
      </w:r>
    </w:p>
    <w:p>
      <w:pPr>
        <w:pStyle w:val="Normal"/>
        <w:widowControl/>
        <w:jc w:val="both"/>
        <w:rPr>
          <w:sz w:val="20"/>
        </w:rPr>
      </w:pPr>
      <w:r>
        <w:rPr>
          <w:sz w:val="20"/>
        </w:rPr>
        <w:t>Counterparty identifies this Transaction as a hedging transaction for federal income tax purposes.  Counterparty hereby identifies the Floating Rate Payer Currency Amount described in this Confirmation as the property being hedged.  If Counterparty is a domestic entity, it uses the method of tax accounting set forth in Treasury Regulation section 1.446-3 for hedging transactions involving notional principal contracts.</w:t>
      </w:r>
    </w:p>
    <w:p>
      <w:pPr>
        <w:pStyle w:val="Normal"/>
        <w:widowControl/>
        <w:jc w:val="both"/>
        <w:rPr>
          <w:sz w:val="20"/>
        </w:rPr>
      </w:pPr>
      <w:r>
        <w:rPr>
          <w:sz w:val="20"/>
        </w:rPr>
      </w:r>
    </w:p>
    <w:p>
      <w:pPr>
        <w:pStyle w:val="Normal"/>
        <w:widowControl/>
        <w:jc w:val="both"/>
        <w:rPr>
          <w:sz w:val="20"/>
        </w:rPr>
      </w:pPr>
      <w:r>
        <w:rPr>
          <w:sz w:val="20"/>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r>
    </w:p>
    <w:p>
      <w:pPr>
        <w:pStyle w:val="Normal"/>
        <w:jc w:val="both"/>
        <w:rPr>
          <w:sz w:val="20"/>
        </w:rPr>
      </w:pPr>
      <w:r>
        <w:rPr>
          <w:sz w:val="20"/>
        </w:rPr>
        <w:t>Risk Management &amp; Trading Corp. is pleased to have entered into this Transaction with you.</w:t>
      </w:r>
      <w:r>
        <w:br w:type="page"/>
      </w:r>
    </w:p>
    <w:p>
      <w:pPr>
        <w:pStyle w:val="BodyTextIndent"/>
        <w:tabs>
          <w:tab w:val="left" w:pos="90" w:leader="none"/>
          <w:tab w:val="left" w:pos="810" w:leader="none"/>
          <w:tab w:val="left" w:pos="2160" w:leader="none"/>
          <w:tab w:val="left" w:pos="4320" w:leader="none"/>
          <w:tab w:val="left" w:pos="6480" w:leader="none"/>
        </w:tabs>
        <w:ind w:start="0" w:end="0"/>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sz w:val="20"/>
        </w:rPr>
      </w:pPr>
      <w:r>
        <w:rPr>
          <w:sz w:val="20"/>
        </w:rPr>
        <w:tab/>
        <w:tab/>
        <w:tab/>
        <w:tab/>
        <w:tab/>
        <w:tab/>
        <w:t>Risk Management &amp; Trading Corp.</w:t>
      </w:r>
    </w:p>
    <w:p>
      <w:pPr>
        <w:pStyle w:val="Normal"/>
        <w:widowControl/>
        <w:jc w:val="both"/>
        <w:rPr>
          <w:sz w:val="20"/>
        </w:rPr>
      </w:pPr>
      <w:r>
        <w:rPr>
          <w:sz w:val="20"/>
        </w:rPr>
        <w:tab/>
        <w:tab/>
        <w:tab/>
        <w:tab/>
        <w:tab/>
        <w:tab/>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Enron Corp.</w:t>
      </w:r>
    </w:p>
    <w:p>
      <w:pPr>
        <w:pStyle w:val="Normal"/>
        <w:widowControl/>
        <w:jc w:val="both"/>
        <w:rPr>
          <w:sz w:val="20"/>
        </w:rPr>
      </w:pPr>
      <w:r>
        <w:rPr>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Deal No. M340229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2000-11-16T17:56:00Z</dcterms:created>
  <dc:creator>ECT</dc:creator>
  <dc:description/>
  <dc:language>en-CA</dc:language>
  <cp:lastModifiedBy>laurel adams</cp:lastModifiedBy>
  <cp:lastPrinted>2000-11-16T17:29:00Z</cp:lastPrinted>
  <dcterms:modified xsi:type="dcterms:W3CDTF">2000-11-21T18:11:00Z</dcterms:modified>
  <cp:revision>9</cp:revision>
  <dc:subject/>
  <dc:title> 1400 Smith  Houston, TX 77002 (713) 853-3300 Fax (713) 646-4816</dc:title>
</cp:coreProperties>
</file>