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t>From:</w:t>
        <w:tab/>
        <w:t>Tozzini Freire Teixeira e Silva Advogados</w:t>
      </w:r>
    </w:p>
    <w:p>
      <w:pPr>
        <w:pStyle w:val="Normal"/>
        <w:jc w:val="both"/>
        <w:rPr/>
      </w:pPr>
      <w:r>
        <w:rPr/>
        <w:tab/>
        <w:t>Antonio Felix de Araujo Cintra</w:t>
      </w:r>
    </w:p>
    <w:p>
      <w:pPr>
        <w:pStyle w:val="Normal"/>
        <w:jc w:val="both"/>
        <w:rPr/>
      </w:pPr>
      <w:r>
        <w:rPr/>
        <w:tab/>
        <w:t>Ana Cláudia Akie Utumi</w:t>
      </w:r>
    </w:p>
    <w:p>
      <w:pPr>
        <w:pStyle w:val="Normal"/>
        <w:jc w:val="both"/>
        <w:rPr/>
      </w:pPr>
      <w:r>
        <w:rPr/>
      </w:r>
    </w:p>
    <w:p>
      <w:pPr>
        <w:pStyle w:val="Normal"/>
        <w:jc w:val="both"/>
        <w:rPr/>
      </w:pPr>
      <w:r>
        <w:rPr/>
        <w:t xml:space="preserve">To: </w:t>
        <w:tab/>
        <w:t>Enron International</w:t>
      </w:r>
    </w:p>
    <w:p>
      <w:pPr>
        <w:pStyle w:val="Normal"/>
        <w:ind w:firstLine="720" w:end="0"/>
        <w:jc w:val="both"/>
        <w:rPr/>
      </w:pPr>
      <w:r>
        <w:rPr/>
        <w:t xml:space="preserve">Ms. Sara Shackleton </w:t>
      </w:r>
    </w:p>
    <w:p>
      <w:pPr>
        <w:pStyle w:val="Normal"/>
        <w:jc w:val="both"/>
        <w:rPr/>
      </w:pPr>
      <w:r>
        <w:rPr/>
        <w:tab/>
        <w:t>Ms. Andrea Bertone</w:t>
      </w:r>
    </w:p>
    <w:p>
      <w:pPr>
        <w:pStyle w:val="Normal"/>
        <w:jc w:val="both"/>
        <w:rPr/>
      </w:pPr>
      <w:r>
        <w:rPr/>
      </w:r>
    </w:p>
    <w:p>
      <w:pPr>
        <w:pStyle w:val="Normal"/>
        <w:jc w:val="both"/>
        <w:rPr/>
      </w:pPr>
      <w:r>
        <w:rPr/>
        <w:t xml:space="preserve">Date: </w:t>
        <w:tab/>
        <w:t>May 15, 2000</w:t>
      </w:r>
    </w:p>
    <w:p>
      <w:pPr>
        <w:pStyle w:val="Normal"/>
        <w:jc w:val="center"/>
        <w:rPr/>
      </w:pPr>
      <w:r>
        <w:rPr/>
      </w:r>
    </w:p>
    <w:p>
      <w:pPr>
        <w:pStyle w:val="BodyText"/>
        <w:rPr>
          <w:rFonts w:ascii="CG Times" w:hAnsi="CG Times" w:cs="CG Times"/>
        </w:rPr>
      </w:pPr>
      <w:r>
        <w:rPr>
          <w:rFonts w:cs="CG Times" w:ascii="CG Times" w:hAnsi="CG Times"/>
        </w:rPr>
        <w:t>Dear Sara and Andrea:</w:t>
      </w:r>
    </w:p>
    <w:p>
      <w:pPr>
        <w:pStyle w:val="Normal"/>
        <w:jc w:val="both"/>
        <w:rPr>
          <w:rFonts w:ascii="CG Times" w:hAnsi="CG Times" w:cs="CG Times"/>
        </w:rPr>
      </w:pPr>
      <w:r>
        <w:rPr>
          <w:rFonts w:cs="CG Times"/>
        </w:rPr>
      </w:r>
    </w:p>
    <w:p>
      <w:pPr>
        <w:pStyle w:val="Normal"/>
        <w:jc w:val="both"/>
        <w:rPr/>
      </w:pPr>
      <w:r>
        <w:rPr/>
        <w:t xml:space="preserve">Reference is made to certain changes in the nonresident investor’s regulations recently occurred in Brazil. </w:t>
      </w:r>
    </w:p>
    <w:p>
      <w:pPr>
        <w:pStyle w:val="Normal"/>
        <w:jc w:val="center"/>
        <w:rPr/>
      </w:pPr>
      <w:r>
        <w:rPr/>
      </w:r>
    </w:p>
    <w:p>
      <w:pPr>
        <w:pStyle w:val="Normal"/>
        <w:jc w:val="both"/>
        <w:rPr/>
      </w:pPr>
      <w:r>
        <w:rPr/>
        <w:t xml:space="preserve">The Brazilian National Monetary Council (the “CMN”) enacted Resolution CMN 2689 on January 26, 2000, which allowed investors domiciled abroad to invest in the financial instruments and operational modalities available to the Brazilian residents in the Brazilian financial and capital markets. </w:t>
      </w:r>
    </w:p>
    <w:p>
      <w:pPr>
        <w:pStyle w:val="Normal"/>
        <w:jc w:val="both"/>
        <w:rPr/>
      </w:pPr>
      <w:r>
        <w:rPr/>
      </w:r>
    </w:p>
    <w:p>
      <w:pPr>
        <w:pStyle w:val="Normal"/>
        <w:jc w:val="both"/>
        <w:rPr/>
      </w:pPr>
      <w:r>
        <w:rPr/>
        <w:t xml:space="preserve">The Brazilian Securities and Exchange Commission (the “CVM”) enacted CVM Instruction 325 on January 27, 2000 to establish general rules in respect of the registration before the CVM of the foreign investors referred to in Resolution CMN 2689. </w:t>
      </w:r>
    </w:p>
    <w:p>
      <w:pPr>
        <w:pStyle w:val="Normal"/>
        <w:jc w:val="both"/>
        <w:rPr/>
      </w:pPr>
      <w:r>
        <w:rPr/>
      </w:r>
    </w:p>
    <w:p>
      <w:pPr>
        <w:pStyle w:val="Normal"/>
        <w:jc w:val="both"/>
        <w:rPr/>
      </w:pPr>
      <w:r>
        <w:rPr/>
        <w:t>Under these new regulations, any investors domiciled abroad, including individuals, any legal entities, mutual and investment funds, and collective investment entities (a “Nonresident Investor” or collectively the “Nonresident Investors”) are eligible to be registered under the new mechanism to invest in the Country’s financial and capital market instruments or operational modalities available to Brazilian residents.</w:t>
      </w:r>
    </w:p>
    <w:p>
      <w:pPr>
        <w:pStyle w:val="Normal"/>
        <w:jc w:val="both"/>
        <w:rPr/>
      </w:pPr>
      <w:r>
        <w:rPr/>
      </w:r>
    </w:p>
    <w:p>
      <w:pPr>
        <w:pStyle w:val="Normal"/>
        <w:jc w:val="both"/>
        <w:rPr/>
      </w:pPr>
      <w:r>
        <w:rPr/>
        <w:t>Resolution CMN 2689 entered into force last March 31, 2000 and will revoke as of June 30, 2000 Resolution CMN 1832 which created the investment mechanism known as “Annex IV”, it being observed that Annex IV investors will have until such date to convert themselves into Nonresident Investors.</w:t>
      </w:r>
    </w:p>
    <w:p>
      <w:pPr>
        <w:pStyle w:val="Normal"/>
        <w:jc w:val="both"/>
        <w:rPr/>
      </w:pPr>
      <w:r>
        <w:rPr/>
      </w:r>
    </w:p>
    <w:p>
      <w:pPr>
        <w:pStyle w:val="Normal"/>
        <w:jc w:val="both"/>
        <w:rPr/>
      </w:pPr>
      <w:r>
        <w:rPr/>
        <w:t>Investments under Resolution CMN 2689 are taxed in general in accordance with provisions contained in Federal Laws 8981, of January 20, 1995 and 9959, of January 27, 2000, in the Provisional Measure no. 1,990-31, of May 11, 2000 and in the Ministry of Finance (“SRF”) Instructions 123, of October 14, 1999, and 161 and 164, both of December 23, 1999.</w:t>
      </w:r>
    </w:p>
    <w:p>
      <w:pPr>
        <w:pStyle w:val="Normal"/>
        <w:jc w:val="both"/>
        <w:rPr/>
      </w:pPr>
      <w:r>
        <w:rPr/>
      </w:r>
    </w:p>
    <w:p>
      <w:pPr>
        <w:pStyle w:val="Normal"/>
        <w:jc w:val="both"/>
        <w:rPr/>
      </w:pPr>
      <w:r>
        <w:rPr/>
        <w:t>In the event the Nonresident Investor is located in tax haven – i.e., a jurisdiction where the income tax is levied at a rate lower than 20% -, the Nonresident Investor will be subject to the same taxation rules applicable to Brazilian Residents, which means in general that:</w:t>
      </w:r>
    </w:p>
    <w:p>
      <w:pPr>
        <w:pStyle w:val="Normal"/>
        <w:jc w:val="both"/>
        <w:rPr/>
      </w:pPr>
      <w:r>
        <w:rPr/>
        <w:tab/>
      </w:r>
    </w:p>
    <w:p>
      <w:pPr>
        <w:pStyle w:val="Normal"/>
        <w:jc w:val="both"/>
        <w:rPr/>
      </w:pPr>
      <w:r>
        <w:rPr/>
        <w:t>(a) net capital gains received as a result of equity market transactions will be subject to income tax at the following rates:</w:t>
      </w:r>
    </w:p>
    <w:p>
      <w:pPr>
        <w:pStyle w:val="Normal"/>
        <w:jc w:val="both"/>
        <w:rPr/>
      </w:pPr>
      <w:r>
        <w:rPr/>
        <w:tab/>
      </w:r>
    </w:p>
    <w:p>
      <w:pPr>
        <w:pStyle w:val="Normal"/>
        <w:jc w:val="both"/>
        <w:rPr/>
      </w:pPr>
      <w:r>
        <w:rPr/>
        <w:tab/>
        <w:t>(i) cash transactions with stocks on the stock exchanges (and similar markets):</w:t>
      </w:r>
    </w:p>
    <w:p>
      <w:pPr>
        <w:pStyle w:val="Normal"/>
        <w:jc w:val="both"/>
        <w:rPr/>
      </w:pPr>
      <w:r>
        <w:rPr/>
      </w:r>
    </w:p>
    <w:p>
      <w:pPr>
        <w:pStyle w:val="Normal"/>
        <w:jc w:val="both"/>
        <w:rPr/>
      </w:pPr>
      <w:r>
        <w:rPr/>
        <w:tab/>
        <w:tab/>
        <w:t>(a) 10% in the calendar-years of 2000 and 2001;</w:t>
      </w:r>
    </w:p>
    <w:p>
      <w:pPr>
        <w:pStyle w:val="Normal"/>
        <w:jc w:val="both"/>
        <w:rPr/>
      </w:pPr>
      <w:r>
        <w:rPr/>
        <w:tab/>
        <w:tab/>
        <w:t>(b) 20% as of the calendar-year of 2002;</w:t>
      </w:r>
    </w:p>
    <w:p>
      <w:pPr>
        <w:pStyle w:val="Normal"/>
        <w:jc w:val="both"/>
        <w:rPr/>
      </w:pPr>
      <w:r>
        <w:rPr/>
      </w:r>
    </w:p>
    <w:p>
      <w:pPr>
        <w:pStyle w:val="Normal"/>
        <w:ind w:start="720" w:end="0"/>
        <w:jc w:val="both"/>
        <w:rPr/>
      </w:pPr>
      <w:r>
        <w:rPr/>
        <w:t>(ii) equity transactions entered into on futures and commodities exchanges, stock exchanges and OTC markets:</w:t>
      </w:r>
    </w:p>
    <w:p>
      <w:pPr>
        <w:pStyle w:val="Normal"/>
        <w:jc w:val="both"/>
        <w:rPr/>
      </w:pPr>
      <w:r>
        <w:rPr/>
      </w:r>
    </w:p>
    <w:p>
      <w:pPr>
        <w:pStyle w:val="Normal"/>
        <w:jc w:val="both"/>
        <w:rPr/>
      </w:pPr>
      <w:r>
        <w:rPr/>
        <w:tab/>
        <w:tab/>
        <w:t>(a) 15% in the calendar-year of 2000;</w:t>
      </w:r>
    </w:p>
    <w:p>
      <w:pPr>
        <w:pStyle w:val="Normal"/>
        <w:jc w:val="both"/>
        <w:rPr/>
      </w:pPr>
      <w:r>
        <w:rPr/>
        <w:tab/>
        <w:tab/>
        <w:t>(b) 20% as of calendar-year of 2001;</w:t>
      </w:r>
    </w:p>
    <w:p>
      <w:pPr>
        <w:pStyle w:val="Normal"/>
        <w:jc w:val="both"/>
        <w:rPr/>
      </w:pPr>
      <w:r>
        <w:rPr/>
      </w:r>
    </w:p>
    <w:p>
      <w:pPr>
        <w:pStyle w:val="Normal"/>
        <w:jc w:val="both"/>
        <w:rPr/>
      </w:pPr>
      <w:r>
        <w:rPr/>
        <w:t>(b) income received as a result of fixed income transactions is subject to income tax at the rate of 20%.</w:t>
      </w:r>
    </w:p>
    <w:p>
      <w:pPr>
        <w:pStyle w:val="Normal"/>
        <w:jc w:val="both"/>
        <w:rPr/>
      </w:pPr>
      <w:r>
        <w:rPr/>
      </w:r>
    </w:p>
    <w:p>
      <w:pPr>
        <w:pStyle w:val="Normal"/>
        <w:jc w:val="both"/>
        <w:rPr/>
      </w:pPr>
      <w:r>
        <w:rPr/>
        <w:t>In case the Nonresident Investor is not located in a tax haven jurisdiction, income received by the Nonresident Investor is subject to:</w:t>
      </w:r>
    </w:p>
    <w:p>
      <w:pPr>
        <w:pStyle w:val="Normal"/>
        <w:jc w:val="both"/>
        <w:rPr/>
      </w:pPr>
      <w:r>
        <w:rPr/>
      </w:r>
    </w:p>
    <w:p>
      <w:pPr>
        <w:pStyle w:val="Normal"/>
        <w:jc w:val="both"/>
        <w:rPr/>
      </w:pPr>
      <w:r>
        <w:rPr/>
        <w:t>(a) 10% income tax in case of investments in stock investment funds (as qualified by the tax regulations), in case of swap transactions, and in transactions made in futures markets, outside the exchange; and</w:t>
      </w:r>
    </w:p>
    <w:p>
      <w:pPr>
        <w:pStyle w:val="Normal"/>
        <w:jc w:val="both"/>
        <w:rPr/>
      </w:pPr>
      <w:r>
        <w:rPr/>
      </w:r>
    </w:p>
    <w:p>
      <w:pPr>
        <w:pStyle w:val="Normal"/>
        <w:jc w:val="both"/>
        <w:rPr/>
      </w:pPr>
      <w:r>
        <w:rPr/>
        <w:t>(b) 15% income tax in any other cases, including fixed income transactions;</w:t>
      </w:r>
    </w:p>
    <w:p>
      <w:pPr>
        <w:pStyle w:val="Normal"/>
        <w:jc w:val="both"/>
        <w:rPr/>
      </w:pPr>
      <w:r>
        <w:rPr/>
      </w:r>
    </w:p>
    <w:p>
      <w:pPr>
        <w:pStyle w:val="Normal"/>
        <w:jc w:val="both"/>
        <w:rPr/>
      </w:pPr>
      <w:r>
        <w:rPr/>
        <w:t>Net capital gains obtained in transactions carried out within a Brazilian stock exchange by the Nonresident Investor not located in a tax haven jurisdiction are exempted of income tax.</w:t>
      </w:r>
    </w:p>
    <w:p>
      <w:pPr>
        <w:pStyle w:val="Normal"/>
        <w:jc w:val="both"/>
        <w:rPr/>
      </w:pPr>
      <w:r>
        <w:rPr/>
      </w:r>
    </w:p>
    <w:p>
      <w:pPr>
        <w:pStyle w:val="Normal"/>
        <w:jc w:val="both"/>
        <w:rPr/>
      </w:pPr>
      <w:r>
        <w:rPr/>
        <w:t xml:space="preserve">Regardless of the qualification of the Nonresident Investor under any of the particular treatments referred to above, the Provisional Contribution on Transactions and Transmission of Values and Credits of Financial Nature Tax ("CPMF") will be applicable in any relevant foreign exchange transactions of the Nonresident Investor (either for inflow or outflow of funds) at the rate of 0.38% until June 16, 2000 and 0.30% as of June17, 2000 until June 16, 2002. In fact, the Nonresident Investor shall be subject to CPMF at the moment of entrance or exit of funds into/from Brazil. </w:t>
      </w:r>
    </w:p>
    <w:p>
      <w:pPr>
        <w:pStyle w:val="Normal"/>
        <w:jc w:val="both"/>
        <w:rPr/>
      </w:pPr>
      <w:r>
        <w:rPr/>
      </w:r>
    </w:p>
    <w:p>
      <w:pPr>
        <w:pStyle w:val="Normal"/>
        <w:jc w:val="both"/>
        <w:rPr/>
      </w:pPr>
      <w:r>
        <w:rPr/>
        <w:t>Pursuant to Ministry of Finance Ordinance 264, of June 30, 1999, IOF tax will be applicable at the rate of 1% p. d. (with calculation in function of the maturity of the investment and based on a certain table attached to Ordinance 264) in connection with fixed income transactions and redemption of quotas of certain investment funds by the Nonresident Investor. This IOF tax is limited to the amount of income obtained by the Nonresident Investor within the period – less than 30 days – the fixed yield investment was carried out. As long as the fixed yield investment is held by the Nonresident Investor for more than 30 days, such IOF is no longer applicable.</w:t>
      </w:r>
    </w:p>
    <w:p>
      <w:pPr>
        <w:pStyle w:val="Normal"/>
        <w:jc w:val="both"/>
        <w:rPr/>
      </w:pPr>
      <w:r>
        <w:rPr/>
      </w:r>
    </w:p>
    <w:p>
      <w:pPr>
        <w:pStyle w:val="Normal"/>
        <w:jc w:val="both"/>
        <w:rPr/>
      </w:pPr>
      <w:r>
        <w:rPr/>
        <w:t>Before initiating its activities in the Brazilian market, the Nonresident Investor shall (i) constitute one or more representatives in Brazil; (ii) fill in the identification form which model is attached to Resolution 2689; and (iii) obtain a registry with the CVM. Under Resolution CMN 2689, any investor may be qualified to be registered with CVM, such as:</w:t>
      </w:r>
    </w:p>
    <w:p>
      <w:pPr>
        <w:pStyle w:val="Normal"/>
        <w:jc w:val="both"/>
        <w:rPr/>
      </w:pPr>
      <w:r>
        <w:rPr/>
      </w:r>
    </w:p>
    <w:p>
      <w:pPr>
        <w:pStyle w:val="Normal"/>
        <w:jc w:val="both"/>
        <w:rPr/>
      </w:pPr>
      <w:r>
        <w:rPr/>
        <w:t xml:space="preserve">(a) commercial, investment banks, savings and loan companies, global custodians and similar institutions, all regulated and monitored by a competent governmental authority; </w:t>
      </w:r>
    </w:p>
    <w:p>
      <w:pPr>
        <w:pStyle w:val="Normal"/>
        <w:jc w:val="both"/>
        <w:rPr/>
      </w:pPr>
      <w:r>
        <w:rPr/>
        <w:t xml:space="preserve">(b) insurance companies, regulated and monitored by a competent governmental authority; </w:t>
      </w:r>
    </w:p>
    <w:p>
      <w:pPr>
        <w:pStyle w:val="Normal"/>
        <w:jc w:val="both"/>
        <w:rPr/>
      </w:pPr>
      <w:r>
        <w:rPr/>
        <w:t xml:space="preserve">(c) companies or entities which purpose is to issue securities, or to intermediate in the trading of securities acting on its own or on behalf of third parties, all registered with and regulated by a body   accredited by the CVM; </w:t>
      </w:r>
    </w:p>
    <w:p>
      <w:pPr>
        <w:pStyle w:val="Normal"/>
        <w:jc w:val="both"/>
        <w:rPr/>
      </w:pPr>
      <w:r>
        <w:rPr/>
        <w:t xml:space="preserve">(d) pension funds regulated by a competent governmental authority; </w:t>
      </w:r>
    </w:p>
    <w:p>
      <w:pPr>
        <w:pStyle w:val="Normal"/>
        <w:jc w:val="both"/>
        <w:rPr/>
      </w:pPr>
      <w:r>
        <w:rPr/>
        <w:t xml:space="preserve">(e) nonprofit institutions, provided that they are regulated by a governmental authority; </w:t>
      </w:r>
    </w:p>
    <w:p>
      <w:pPr>
        <w:pStyle w:val="Normal"/>
        <w:jc w:val="both"/>
        <w:rPr/>
      </w:pPr>
      <w:r>
        <w:rPr/>
        <w:t xml:space="preserve">(f) any entity engaged in the financial and capital markets investments in which only individuals or legal entities resident and domiciled abroad hold any interest, provided that: (i) such entity is registered with and regulated by a body that is accredited by CVM; or (ii) the portfolio is discretionarily managed by a professional manager registered with and regulated by an institution accredited by the CVM; </w:t>
      </w:r>
    </w:p>
    <w:p>
      <w:pPr>
        <w:pStyle w:val="Normal"/>
        <w:jc w:val="both"/>
        <w:rPr/>
      </w:pPr>
      <w:r>
        <w:rPr/>
        <w:t xml:space="preserve">(g) all other funds or collective investment entities; </w:t>
      </w:r>
    </w:p>
    <w:p>
      <w:pPr>
        <w:pStyle w:val="Normal"/>
        <w:jc w:val="both"/>
        <w:rPr/>
      </w:pPr>
      <w:r>
        <w:rPr/>
        <w:t xml:space="preserve">(h) legal entities organized  abroad; or </w:t>
      </w:r>
    </w:p>
    <w:p>
      <w:pPr>
        <w:pStyle w:val="Normal"/>
        <w:jc w:val="both"/>
        <w:rPr/>
      </w:pPr>
      <w:r>
        <w:rPr/>
        <w:t xml:space="preserve">(i) individuals who reside abroad. </w:t>
      </w:r>
    </w:p>
    <w:p>
      <w:pPr>
        <w:pStyle w:val="Normal"/>
        <w:jc w:val="both"/>
        <w:rPr/>
      </w:pPr>
      <w:r>
        <w:rPr/>
      </w:r>
    </w:p>
    <w:p>
      <w:pPr>
        <w:pStyle w:val="Normal"/>
        <w:jc w:val="both"/>
        <w:rPr/>
      </w:pPr>
      <w:r>
        <w:rPr/>
        <w:t>Only the investors qualified under items (a) through (g) may hold an omnibus account, which are collective accounts that may have sub-investors which must be also registered as Nonresident Investors before the CVM.</w:t>
      </w:r>
    </w:p>
    <w:p>
      <w:pPr>
        <w:pStyle w:val="Normal"/>
        <w:jc w:val="both"/>
        <w:rPr/>
      </w:pPr>
      <w:r>
        <w:rPr/>
      </w:r>
    </w:p>
    <w:p>
      <w:pPr>
        <w:pStyle w:val="Normal"/>
        <w:jc w:val="both"/>
        <w:rPr/>
      </w:pPr>
      <w:r>
        <w:rPr/>
        <w:t xml:space="preserve">It is mandatory that the Nonresident Investor indicates a representative in Brazil, which may be either an entity authorized to operate by the Central Bank or an individual or a non financial legal entity. Should the representative be an individual or legal entity not authorized to operate in Brazil by the Central Bank, the Nonresident Investor shall indicate an entity authorized to operate in Brazil by the Central Bank of Brazil (the “Central Bank”) to be co-responsible in relation to the representative’s obligations, such as, among others: </w:t>
      </w:r>
    </w:p>
    <w:p>
      <w:pPr>
        <w:pStyle w:val="Normal"/>
        <w:jc w:val="both"/>
        <w:rPr/>
      </w:pPr>
      <w:r>
        <w:rPr/>
      </w:r>
    </w:p>
    <w:p>
      <w:pPr>
        <w:pStyle w:val="Normal"/>
        <w:jc w:val="both"/>
        <w:rPr/>
      </w:pPr>
      <w:r>
        <w:rPr/>
        <w:t xml:space="preserve">(i) keep and present to the Central Bank and to the CVM, upon request, the information required by the attached form to Resolution CMN 2689, as well as the representation agreement executed with the Nonresident Investor; </w:t>
      </w:r>
    </w:p>
    <w:p>
      <w:pPr>
        <w:pStyle w:val="Normal"/>
        <w:jc w:val="both"/>
        <w:rPr/>
      </w:pPr>
      <w:r>
        <w:rPr/>
        <w:t xml:space="preserve">(ii) to register and keep updated the registration of the Nonresident Investor with the CVM, as well as the proper maintenance of the registration of the foreign investment with the Central Bank; </w:t>
      </w:r>
    </w:p>
    <w:p>
      <w:pPr>
        <w:pStyle w:val="Normal"/>
        <w:jc w:val="both"/>
        <w:rPr/>
      </w:pPr>
      <w:r>
        <w:rPr/>
        <w:t xml:space="preserve">(iii) to inform the Central Bank and the CVM in connection with any information requested by such authorities; </w:t>
      </w:r>
    </w:p>
    <w:p>
      <w:pPr>
        <w:pStyle w:val="Normal"/>
        <w:jc w:val="both"/>
        <w:rPr/>
      </w:pPr>
      <w:r>
        <w:rPr/>
        <w:t xml:space="preserve">(iv) to endorse the signature of the Nonresident Investor on the attached form to Resolution 2689; and </w:t>
      </w:r>
    </w:p>
    <w:p>
      <w:pPr>
        <w:pStyle w:val="Normal"/>
        <w:jc w:val="both"/>
        <w:rPr/>
      </w:pPr>
      <w:r>
        <w:rPr/>
        <w:t>(v) immediately report to the Central Bank and the CVM the termination of the representation agreement.</w:t>
      </w:r>
    </w:p>
    <w:p>
      <w:pPr>
        <w:pStyle w:val="Normal"/>
        <w:jc w:val="both"/>
        <w:rPr/>
      </w:pPr>
      <w:r>
        <w:rPr/>
      </w:r>
    </w:p>
    <w:p>
      <w:pPr>
        <w:pStyle w:val="Normal"/>
        <w:jc w:val="both"/>
        <w:rPr/>
      </w:pPr>
      <w:r>
        <w:rPr/>
        <w:t>All financial assets and securities negotiated, as well as other types of financial transactions carried out by the Nonresident Investors shall, according to the transaction nature: (i) be registered or maintained in custody or in a deposit account with institutions authorized to provide such services by the Central Bank or by the CVM; or (ii) be duly registered in custody systems recognized by the Central Bank or by the CVM in their respective field, to perform the activities of registration, settlement of transactions and custody of assets.</w:t>
      </w:r>
    </w:p>
    <w:p>
      <w:pPr>
        <w:pStyle w:val="Normal"/>
        <w:jc w:val="both"/>
        <w:rPr/>
      </w:pPr>
      <w:r>
        <w:rPr/>
      </w:r>
    </w:p>
    <w:p>
      <w:pPr>
        <w:pStyle w:val="Normal"/>
        <w:jc w:val="both"/>
        <w:rPr/>
      </w:pPr>
      <w:r>
        <w:rPr/>
        <w:t xml:space="preserve">The transactions of the Nonresident Investors in derivatives or other futures markets may only be carried out in or registered with stock, commodities, futures or over-the-counter markets organized by an entity authorized to operate by the CVM, or registered with systems of registration and settlement of transactions or custody of assets approved by the Central Bank or the CVM, as the case may be. </w:t>
      </w:r>
    </w:p>
    <w:p>
      <w:pPr>
        <w:pStyle w:val="Normal"/>
        <w:jc w:val="both"/>
        <w:rPr/>
      </w:pPr>
      <w:r>
        <w:rPr/>
      </w:r>
    </w:p>
    <w:p>
      <w:pPr>
        <w:pStyle w:val="Normal"/>
        <w:jc w:val="both"/>
        <w:rPr/>
      </w:pPr>
      <w:r>
        <w:rPr/>
        <w:t>The Nonresident Investor may hold an omnibus account or one or more participant accounts, and may also keep its securities in separate custody accounts or in more than one institution of custody, provided the custody agreement to be entered into with a custodian in Brazil contemplates the proceedings concerning the funds movements between the accounts, and the information to be provided to the titleholder and representatives.</w:t>
      </w:r>
    </w:p>
    <w:p>
      <w:pPr>
        <w:pStyle w:val="Normal"/>
        <w:jc w:val="both"/>
        <w:rPr>
          <w:rFonts w:eastAsia="CG Times"/>
        </w:rPr>
      </w:pPr>
      <w:r>
        <w:rPr>
          <w:rFonts w:eastAsia="CG Times"/>
        </w:rPr>
        <w:t xml:space="preserve"> </w:t>
      </w:r>
    </w:p>
    <w:p>
      <w:pPr>
        <w:pStyle w:val="Normal"/>
        <w:jc w:val="both"/>
        <w:rPr/>
      </w:pPr>
      <w:r>
        <w:rPr/>
        <w:t xml:space="preserve">The relevant funds entering Brazil through Resolution CMN 2689 may not be used in transactions for the acquisition or disposal (i) outside the exchange trading floors, electronic systems or over-the-counter markets organized by entities authorized by the CVM, of securities issued by registered publicly held companies; (ii) of securities negotiated in non-organized over-the-counter markets, or in over-the-counter markets organized by entities not authorized to operate by the CVM. </w:t>
      </w:r>
    </w:p>
    <w:p>
      <w:pPr>
        <w:pStyle w:val="Normal"/>
        <w:jc w:val="both"/>
        <w:rPr/>
      </w:pPr>
      <w:r>
        <w:rPr/>
      </w:r>
    </w:p>
    <w:p>
      <w:pPr>
        <w:pStyle w:val="Normal"/>
        <w:jc w:val="both"/>
        <w:rPr/>
      </w:pPr>
      <w:r>
        <w:rPr/>
        <w:t>Such restriction does not apply in case of stock subscription, stock bonuses, conversion of debentures into shares, indexes referenced in securities, acquisition and disposal of quotas of open-end mutual investment funds and, subject to the CVM’s prior approval, the cases of companies going private or those in process of suspending or canceling the trading of its shares.</w:t>
      </w:r>
    </w:p>
    <w:p>
      <w:pPr>
        <w:pStyle w:val="Normal"/>
        <w:jc w:val="both"/>
        <w:rPr/>
      </w:pPr>
      <w:r>
        <w:rPr/>
      </w:r>
    </w:p>
    <w:p>
      <w:pPr>
        <w:pStyle w:val="Normal"/>
        <w:jc w:val="both"/>
        <w:rPr/>
      </w:pPr>
      <w:r>
        <w:rPr/>
        <w:t>The assets held by Nonresident Investors in Brazil cannot be privately transferred or assigned abroad nor in Brazil, except in the cases of corporate reorganizations or hereditary succession in the manner provided for in the Central Bank and the CVM regulations.</w:t>
      </w:r>
    </w:p>
    <w:p>
      <w:pPr>
        <w:pStyle w:val="Normal"/>
        <w:jc w:val="both"/>
        <w:rPr/>
      </w:pPr>
      <w:r>
        <w:rPr/>
      </w:r>
    </w:p>
    <w:p>
      <w:pPr>
        <w:pStyle w:val="Header"/>
        <w:tabs>
          <w:tab w:val="clear" w:pos="4320"/>
          <w:tab w:val="clear" w:pos="8640"/>
        </w:tabs>
        <w:jc w:val="both"/>
        <w:rPr/>
      </w:pPr>
      <w:r>
        <w:rPr/>
        <w:t>Finally, please find attached hereto new version of the chart incorporating the information referred to above as well as your comments presented to us in our last meeting.</w:t>
      </w:r>
    </w:p>
    <w:p>
      <w:pPr>
        <w:pStyle w:val="Header"/>
        <w:tabs>
          <w:tab w:val="clear" w:pos="4320"/>
          <w:tab w:val="clear" w:pos="8640"/>
        </w:tabs>
        <w:jc w:val="both"/>
        <w:rPr/>
      </w:pPr>
      <w:r>
        <w:rPr/>
      </w:r>
    </w:p>
    <w:p>
      <w:pPr>
        <w:pStyle w:val="Header"/>
        <w:tabs>
          <w:tab w:val="clear" w:pos="4320"/>
          <w:tab w:val="clear" w:pos="8640"/>
        </w:tabs>
        <w:jc w:val="both"/>
        <w:rPr/>
      </w:pPr>
      <w:r>
        <w:rPr/>
        <w:t>Should you have any questions in connection with the above matters, please do not hesitate to contact us.</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b/>
      <w:lang w:val="en-GB"/>
    </w:rPr>
  </w:style>
  <w:style w:type="character" w:styleId="WW8NumSt1z0">
    <w:name w:val="WW8NumSt1z0"/>
    <w:qFormat/>
    <w:rPr>
      <w:rFonts w:ascii="Symbol" w:hAnsi="Symbol" w:cs="Symbol"/>
    </w:rPr>
  </w:style>
  <w:style w:type="character" w:styleId="Fontepargpadro">
    <w:name w:val="Fonte parág. padrão"/>
    <w:qFormat/>
    <w:rPr/>
  </w:style>
  <w:style w:type="character" w:styleId="PageNumber">
    <w:name w:val="page number"/>
    <w:basedOn w:val="Fontepargpadro"/>
    <w:rPr>
      <w:rFonts w:ascii="CG Times" w:hAnsi="CG Times" w:cs="CG Times"/>
      <w:sz w:val="20"/>
      <w:lang w:val="en-G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Docvaz-Ing</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2000-05-15T16:27:00Z</dcterms:created>
  <dc:creator>TFTS</dc:creator>
  <dc:description>Documento Vazio em Inglês</dc:description>
  <cp:keywords>Vazio</cp:keywords>
  <dc:language>en-CA</dc:language>
  <cp:lastModifiedBy>TFTS</cp:lastModifiedBy>
  <cp:lastPrinted>2000-05-15T19:37:00Z</cp:lastPrinted>
  <dcterms:modified xsi:type="dcterms:W3CDTF">2000-05-15T20:57:00Z</dcterms:modified>
  <cp:revision>9</cp:revision>
  <dc:subject/>
  <dc:title>Documento Vazio em Inglês</dc:title>
</cp:coreProperties>
</file>