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April 12, 2000</w:t>
      </w:r>
    </w:p>
    <w:p>
      <w:pPr>
        <w:pStyle w:val="Normal"/>
        <w:widowControl/>
        <w:jc w:val="both"/>
        <w:rPr>
          <w:sz w:val="20"/>
        </w:rPr>
      </w:pPr>
      <w:r>
        <w:rPr>
          <w:sz w:val="20"/>
        </w:rPr>
      </w:r>
    </w:p>
    <w:p>
      <w:pPr>
        <w:pStyle w:val="Normal"/>
        <w:widowControl/>
        <w:jc w:val="both"/>
        <w:rPr>
          <w:sz w:val="20"/>
        </w:rPr>
      </w:pPr>
      <w:r>
        <w:rPr>
          <w:sz w:val="20"/>
        </w:rPr>
        <w:t xml:space="preserve">To: </w:t>
        <w:tab/>
        <w:tab/>
        <w:t>European Power Holdings (Party “B”)</w:t>
      </w:r>
    </w:p>
    <w:p>
      <w:pPr>
        <w:pStyle w:val="Normal"/>
        <w:widowControl/>
        <w:jc w:val="both"/>
        <w:rPr>
          <w:sz w:val="20"/>
        </w:rPr>
      </w:pPr>
      <w:r>
        <w:rPr>
          <w:sz w:val="20"/>
        </w:rPr>
      </w:r>
    </w:p>
    <w:p>
      <w:pPr>
        <w:pStyle w:val="Normal"/>
        <w:widowControl/>
        <w:jc w:val="both"/>
        <w:rPr>
          <w:sz w:val="20"/>
        </w:rPr>
      </w:pPr>
      <w:r>
        <w:rPr>
          <w:sz w:val="20"/>
        </w:rPr>
        <w:t>Attention:</w:t>
        <w:tab/>
        <w:t>Maroun Aboudy</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sz w:val="20"/>
        </w:rPr>
      </w:pPr>
      <w:r>
        <w:rPr>
          <w:sz w:val="20"/>
        </w:rPr>
        <w:t>RE:</w:t>
        <w:tab/>
        <w:tab/>
        <w:t xml:space="preserve">Foreign Exchange Transaction, Deal No. </w:t>
      </w:r>
      <w:r>
        <w:rPr>
          <w:color w:val="FF0000"/>
          <w:sz w:val="20"/>
        </w:rPr>
        <w:t>M262938</w:t>
      </w:r>
    </w:p>
    <w:p>
      <w:pPr>
        <w:pStyle w:val="Normal"/>
        <w:widowControl/>
        <w:jc w:val="both"/>
        <w:rPr>
          <w:sz w:val="20"/>
        </w:rPr>
      </w:pPr>
      <w:r>
        <w:rPr>
          <w:sz w:val="20"/>
        </w:rPr>
      </w:r>
    </w:p>
    <w:p>
      <w:pPr>
        <w:pStyle w:val="Normal"/>
        <w:jc w:val="both"/>
        <w:rPr>
          <w:sz w:val="20"/>
        </w:rPr>
      </w:pPr>
      <w:r>
        <w:rPr>
          <w:sz w:val="20"/>
        </w:rPr>
        <w:t>The purpose of this letter agreement (this “Confirmation”) is to evidence a complete and binding agreement and to confirm the terms and conditions of the Transaction entered into between us on the Trade Date specified below (the “Transaction”). This Confirmation constitutes a “Confirmation” pursuant to the 1992 ISDA Master Agreement (Multicurrency-Cross Border) (the "ISDA Form") specified below.</w:t>
      </w:r>
    </w:p>
    <w:p>
      <w:pPr>
        <w:pStyle w:val="Normal"/>
        <w:jc w:val="both"/>
        <w:rPr>
          <w:sz w:val="20"/>
        </w:rPr>
      </w:pPr>
      <w:r>
        <w:rPr>
          <w:sz w:val="20"/>
        </w:rPr>
      </w:r>
    </w:p>
    <w:p>
      <w:pPr>
        <w:pStyle w:val="BodyText3"/>
        <w:rPr/>
      </w:pPr>
      <w:r>
        <w:rPr/>
        <w:t>Party A and Party B agree to use all reasonable efforts promptly to negotiate, execute and deliver an agreement in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jc w:val="both"/>
        <w:rPr>
          <w:sz w:val="20"/>
        </w:rPr>
      </w:pPr>
      <w:r>
        <w:rPr>
          <w:sz w:val="20"/>
        </w:rPr>
      </w:r>
    </w:p>
    <w:p>
      <w:pPr>
        <w:pStyle w:val="Norma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The terms of the particular Transaction to which this Confirmation relates are as follows:</w:t>
      </w:r>
    </w:p>
    <w:p>
      <w:pPr>
        <w:pStyle w:val="Normal"/>
        <w:widowControl/>
        <w:jc w:val="both"/>
        <w:rPr>
          <w:b/>
          <w:sz w:val="20"/>
        </w:rPr>
      </w:pPr>
      <w:r>
        <w:rPr>
          <w:b/>
          <w:sz w:val="20"/>
        </w:rPr>
      </w:r>
    </w:p>
    <w:p>
      <w:pPr>
        <w:pStyle w:val="Normal"/>
        <w:widowControl/>
        <w:jc w:val="both"/>
        <w:rPr/>
      </w:pPr>
      <w:r>
        <w:rPr/>
        <w:t>M262938</w:t>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April 12, 2000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USD 79,503,689.96</w:t>
            </w:r>
          </w:p>
        </w:tc>
      </w:tr>
      <w:tr>
        <w:trPr/>
        <w:tc>
          <w:tcPr>
            <w:tcW w:w="3528" w:type="dxa"/>
            <w:tcBorders/>
          </w:tcPr>
          <w:p>
            <w:pPr>
              <w:pStyle w:val="Normal"/>
              <w:widowControl/>
              <w:snapToGrid w:val="false"/>
              <w:spacing w:before="60" w:after="0"/>
              <w:ind w:start="720" w:end="0"/>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GBP 49,199,350.20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tcBorders/>
          </w:tcPr>
          <w:p>
            <w:pPr>
              <w:pStyle w:val="Normal"/>
              <w:widowControl/>
              <w:spacing w:before="60" w:after="0"/>
              <w:jc w:val="both"/>
              <w:rPr>
                <w:sz w:val="20"/>
              </w:rPr>
            </w:pPr>
            <w:r>
              <w:rPr>
                <w:sz w:val="20"/>
              </w:rPr>
              <w:t>April 14, 2000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bl>
    <w:p>
      <w:pPr>
        <w:pStyle w:val="Normal"/>
        <w:rPr/>
      </w:pPr>
      <w:r>
        <w:rPr/>
      </w:r>
    </w:p>
    <w:p>
      <w:pPr>
        <w:pStyle w:val="Normal"/>
        <w:widowControl/>
        <w:jc w:val="both"/>
        <w:rPr/>
      </w:pPr>
      <w:r>
        <w:rPr/>
        <w:t>M262938</w:t>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April 12, 2000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GBP 49,199350.20</w:t>
            </w:r>
          </w:p>
        </w:tc>
      </w:tr>
      <w:tr>
        <w:trPr/>
        <w:tc>
          <w:tcPr>
            <w:tcW w:w="3528" w:type="dxa"/>
            <w:tcBorders/>
          </w:tcPr>
          <w:p>
            <w:pPr>
              <w:pStyle w:val="Normal"/>
              <w:widowControl/>
              <w:snapToGrid w:val="false"/>
              <w:spacing w:before="60" w:after="0"/>
              <w:ind w:start="720" w:end="0"/>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USD 79,504,673.94</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tcBorders/>
          </w:tcPr>
          <w:p>
            <w:pPr>
              <w:pStyle w:val="Normal"/>
              <w:widowControl/>
              <w:spacing w:before="60" w:after="0"/>
              <w:jc w:val="both"/>
              <w:rPr>
                <w:sz w:val="20"/>
              </w:rPr>
            </w:pPr>
            <w:r>
              <w:rPr>
                <w:sz w:val="20"/>
              </w:rPr>
              <w:t>April 28, 2000</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jc w:val="both"/>
              <w:rPr>
                <w:sz w:val="20"/>
              </w:rPr>
            </w:pPr>
            <w:r>
              <w:rPr>
                <w:sz w:val="20"/>
              </w:rPr>
              <w:t>2. Calculation Agent:</w:t>
            </w:r>
          </w:p>
        </w:tc>
        <w:tc>
          <w:tcPr>
            <w:tcW w:w="5328" w:type="dxa"/>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Account Details:</w:t>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5328" w:type="dxa"/>
            <w:tcBorders/>
          </w:tcPr>
          <w:p>
            <w:pPr>
              <w:pStyle w:val="Normal"/>
              <w:widowControl/>
              <w:spacing w:before="60" w:after="0"/>
              <w:jc w:val="both"/>
              <w:rPr>
                <w:sz w:val="20"/>
              </w:rPr>
            </w:pPr>
            <w:r>
              <w:rPr>
                <w:sz w:val="20"/>
              </w:rPr>
              <w:t>USD - Bank of America             GBP- Citibank-London</w:t>
            </w:r>
          </w:p>
          <w:p>
            <w:pPr>
              <w:pStyle w:val="Normal"/>
              <w:widowControl/>
              <w:spacing w:before="60" w:after="0"/>
              <w:jc w:val="both"/>
              <w:rPr>
                <w:sz w:val="20"/>
              </w:rPr>
            </w:pPr>
            <w:r>
              <w:rPr>
                <w:sz w:val="20"/>
              </w:rPr>
              <w:t>ABA # 111000012                      Swift Code: CITIGB2L</w:t>
            </w:r>
          </w:p>
          <w:p>
            <w:pPr>
              <w:pStyle w:val="Normal"/>
              <w:widowControl/>
              <w:spacing w:before="60" w:after="0"/>
              <w:jc w:val="both"/>
              <w:rPr>
                <w:sz w:val="20"/>
              </w:rPr>
            </w:pPr>
            <w:r>
              <w:rPr>
                <w:sz w:val="20"/>
              </w:rPr>
              <w:t>Account No. 3750494727           Account No. 8143692</w:t>
            </w:r>
          </w:p>
        </w:tc>
      </w:tr>
      <w:tr>
        <w:trPr/>
        <w:tc>
          <w:tcPr>
            <w:tcW w:w="3528" w:type="dxa"/>
            <w:tcBorders/>
          </w:tcPr>
          <w:p>
            <w:pPr>
              <w:pStyle w:val="Normal"/>
              <w:widowControl/>
              <w:snapToGrid w:val="false"/>
              <w:spacing w:before="60" w:after="0"/>
              <w:ind w:start="36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328" w:type="dxa"/>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Governing Law:</w:t>
            </w:r>
          </w:p>
        </w:tc>
        <w:tc>
          <w:tcPr>
            <w:tcW w:w="5328" w:type="dxa"/>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t>5.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Enron Power Holdings B.V.</w:t>
      </w:r>
    </w:p>
    <w:p>
      <w:pPr>
        <w:pStyle w:val="Normal"/>
        <w:widowControl/>
        <w:jc w:val="both"/>
        <w:rPr>
          <w:b/>
          <w:sz w:val="20"/>
        </w:rPr>
      </w:pPr>
      <w:r>
        <w:rPr>
          <w:b/>
          <w:sz w:val="20"/>
        </w:rPr>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sz w:val="20"/>
        </w:rPr>
      </w:pPr>
      <w:r>
        <w:rPr>
          <w:sz w:val="20"/>
        </w:rPr>
        <w:t xml:space="preserve">Title: </w:t>
      </w:r>
      <w:r>
        <w:rPr>
          <w:sz w:val="20"/>
          <w:u w:val="single"/>
        </w:rPr>
        <w:tab/>
        <w:tab/>
        <w:tab/>
        <w:tab/>
        <w:tab/>
      </w:r>
    </w:p>
    <w:p>
      <w:pPr>
        <w:pStyle w:val="Normal"/>
        <w:widowControl/>
        <w:rPr>
          <w:sz w:val="20"/>
        </w:rPr>
      </w:pPr>
      <w:r>
        <w:rPr>
          <w:sz w:val="20"/>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M262938A&amp;B</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2000-04-12T17:36:00Z</dcterms:created>
  <dc:creator>ECT</dc:creator>
  <dc:description/>
  <dc:language>en-CA</dc:language>
  <cp:lastModifiedBy>arizvi</cp:lastModifiedBy>
  <cp:lastPrinted>2000-04-13T15:36:00Z</cp:lastPrinted>
  <dcterms:modified xsi:type="dcterms:W3CDTF">2000-04-13T18:07:00Z</dcterms:modified>
  <cp:revision>7</cp:revision>
  <dc:subject/>
  <dc:title> </dc:title>
</cp:coreProperties>
</file>