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Risk Management &amp; Trading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November 16, 1999</w:t>
      </w:r>
    </w:p>
    <w:p>
      <w:pPr>
        <w:pStyle w:val="Normal"/>
        <w:widowControl/>
        <w:jc w:val="both"/>
        <w:rPr>
          <w:sz w:val="20"/>
        </w:rPr>
      </w:pPr>
      <w:r>
        <w:rPr>
          <w:sz w:val="20"/>
        </w:rPr>
      </w:r>
    </w:p>
    <w:p>
      <w:pPr>
        <w:pStyle w:val="Normal"/>
        <w:widowControl/>
        <w:jc w:val="both"/>
        <w:rPr/>
      </w:pPr>
      <w:r>
        <w:rPr>
          <w:sz w:val="20"/>
        </w:rPr>
        <w:t xml:space="preserve">To: </w:t>
        <w:tab/>
        <w:tab/>
      </w:r>
      <w:r>
        <w:rPr>
          <w:color w:val="FF0000"/>
          <w:sz w:val="20"/>
        </w:rPr>
        <w:t>Enron Corp.</w:t>
      </w:r>
      <w:r>
        <w:rPr>
          <w:sz w:val="20"/>
        </w:rPr>
        <w:t xml:space="preserve"> (“Counterparty”)</w:t>
      </w:r>
    </w:p>
    <w:p>
      <w:pPr>
        <w:pStyle w:val="Normal"/>
        <w:widowControl/>
        <w:jc w:val="both"/>
        <w:rPr>
          <w:sz w:val="20"/>
        </w:rPr>
      </w:pPr>
      <w:r>
        <w:rPr>
          <w:sz w:val="20"/>
        </w:rPr>
      </w:r>
    </w:p>
    <w:p>
      <w:pPr>
        <w:pStyle w:val="Normal"/>
        <w:widowControl/>
        <w:jc w:val="both"/>
        <w:rPr>
          <w:sz w:val="20"/>
        </w:rPr>
      </w:pPr>
      <w:r>
        <w:rPr>
          <w:sz w:val="20"/>
        </w:rPr>
        <w:t>Attention:</w:t>
        <w:tab/>
      </w:r>
      <w:r>
        <w:rPr>
          <w:color w:val="FF0000"/>
          <w:sz w:val="20"/>
        </w:rPr>
        <w:t>Jeff Nogid</w:t>
      </w:r>
    </w:p>
    <w:p>
      <w:pPr>
        <w:pStyle w:val="Normal"/>
        <w:widowControl/>
        <w:jc w:val="both"/>
        <w:rPr>
          <w:sz w:val="20"/>
        </w:rPr>
      </w:pPr>
      <w:r>
        <w:rPr>
          <w:sz w:val="20"/>
        </w:rPr>
      </w:r>
    </w:p>
    <w:p>
      <w:pPr>
        <w:pStyle w:val="Normal"/>
        <w:widowControl/>
        <w:jc w:val="both"/>
        <w:rPr>
          <w:sz w:val="20"/>
        </w:rPr>
      </w:pPr>
      <w:r>
        <w:rPr>
          <w:sz w:val="20"/>
        </w:rPr>
        <w:t>Fax No.:</w:t>
        <w:tab/>
        <w:tab/>
        <w:t>(713) 646-8517</w:t>
      </w:r>
    </w:p>
    <w:p>
      <w:pPr>
        <w:pStyle w:val="Normal"/>
        <w:widowControl/>
        <w:jc w:val="both"/>
        <w:rPr>
          <w:sz w:val="20"/>
        </w:rPr>
      </w:pPr>
      <w:r>
        <w:rPr>
          <w:sz w:val="20"/>
        </w:rPr>
      </w:r>
    </w:p>
    <w:p>
      <w:pPr>
        <w:pStyle w:val="Normal"/>
        <w:widowControl/>
        <w:jc w:val="both"/>
        <w:rPr>
          <w:sz w:val="20"/>
        </w:rPr>
      </w:pPr>
      <w:r>
        <w:rPr>
          <w:sz w:val="20"/>
        </w:rPr>
        <w:t>From:</w:t>
        <w:tab/>
        <w:tab/>
        <w:t>Risk Management &amp; Trading Corp. (“RMT”)</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M253200</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16,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30,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30, 2000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RMT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JPY 10,000,000,000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November 30, 2000,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0.58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30/360</w:t>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Counterparty</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USD 95,102,235.00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February 29, 2000, May 31, 2000, August 31, 2000,  November 30, 2000,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Three months</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Plus 0.46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w:t>
            </w:r>
          </w:p>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br w:type="page"/>
      </w: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Initial Exchange: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Initial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Effective Date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RMT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95,007,133.00</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Counterparty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JPY 9,990,000,000</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Final Exchange: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Final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Termination Date</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RMT Final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JPY 10,000,000,000</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 xml:space="preserve">Counterparty Final Exchange </w:t>
            </w:r>
          </w:p>
          <w:p>
            <w:pPr>
              <w:pStyle w:val="BodyTextIndent"/>
              <w:widowControl/>
              <w:tabs>
                <w:tab w:val="left" w:pos="90" w:leader="none"/>
                <w:tab w:val="left" w:pos="2160" w:leader="none"/>
                <w:tab w:val="left" w:pos="4140" w:leader="none"/>
                <w:tab w:val="left" w:pos="4320" w:leader="none"/>
                <w:tab w:val="left" w:pos="6480" w:leader="none"/>
              </w:tabs>
              <w:ind w:start="630" w:end="0"/>
              <w:rPr/>
            </w:pPr>
            <w:r>
              <w:rPr/>
              <w:t>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95,102,235.00</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RMT</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RMT:</w:t>
            </w:r>
          </w:p>
        </w:tc>
        <w:tc>
          <w:tcPr>
            <w:tcW w:w="5328" w:type="dxa"/>
            <w:gridSpan w:val="2"/>
            <w:tcBorders/>
          </w:tcPr>
          <w:p>
            <w:pPr>
              <w:pStyle w:val="Normal"/>
              <w:widowControl/>
              <w:spacing w:before="60" w:after="0"/>
              <w:jc w:val="both"/>
              <w:rPr>
                <w:sz w:val="20"/>
              </w:rPr>
            </w:pPr>
            <w:r>
              <w:rPr>
                <w:sz w:val="20"/>
              </w:rPr>
              <w:t>To be advised</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20"/>
        </w:rPr>
      </w:pPr>
      <w:r>
        <w:rPr>
          <w:sz w:val="20"/>
        </w:rPr>
      </w:r>
    </w:p>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Floating Rate Payer Currency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BodyTextIndent"/>
        <w:tabs>
          <w:tab w:val="left" w:pos="90" w:leader="none"/>
          <w:tab w:val="left" w:pos="810" w:leader="none"/>
          <w:tab w:val="left" w:pos="2160" w:leader="none"/>
          <w:tab w:val="left" w:pos="4320" w:leader="none"/>
          <w:tab w:val="left" w:pos="6480" w:leader="none"/>
        </w:tabs>
        <w:ind w:start="0" w:end="0"/>
        <w:rPr>
          <w:sz w:val="20"/>
        </w:rPr>
      </w:pPr>
      <w:r>
        <w:rPr>
          <w:sz w:val="20"/>
        </w:rPr>
      </w:r>
    </w:p>
    <w:p>
      <w:pPr>
        <w:pStyle w:val="BodyTextIndent"/>
        <w:tabs>
          <w:tab w:val="left" w:pos="90" w:leader="none"/>
          <w:tab w:val="left" w:pos="810" w:leader="none"/>
          <w:tab w:val="left" w:pos="2160" w:leader="none"/>
          <w:tab w:val="left" w:pos="4320" w:leader="none"/>
          <w:tab w:val="left" w:pos="6480" w:leader="none"/>
        </w:tabs>
        <w:ind w:start="0" w:end="0"/>
        <w:rPr/>
      </w:pPr>
      <w:r>
        <w:rPr/>
        <w:t>If this Confirmation contains any error, please notify Risk Management &amp; Trading Corp. immediately.  Failure to notify RMT of a bona fide error in this Confirmation or failure to accept this Confirmation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ab/>
        <w:t>We look forward to receiving your prompt reply.</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tab/>
        <w:tab/>
        <w:tab/>
        <w:tab/>
        <w:tab/>
        <w:tab/>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Enron Corp.</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M253200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2000-03-22T13:24:00Z</dcterms:created>
  <dc:creator>ECT</dc:creator>
  <dc:description/>
  <dc:language>en-CA</dc:language>
  <cp:lastModifiedBy>Melissa Balderas</cp:lastModifiedBy>
  <cp:lastPrinted>2000-03-24T15:00:00Z</cp:lastPrinted>
  <dcterms:modified xsi:type="dcterms:W3CDTF">2000-04-19T16:29:00Z</dcterms:modified>
  <cp:revision>10</cp:revision>
  <dc:subject/>
  <dc:title> 1400 Smith  Houston, TX 77002 (713) 853-3300 Fax (713) 646-4816</dc:title>
</cp:coreProperties>
</file>