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Capital &amp; Trade Resources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June 28, 1999</w:t>
      </w:r>
    </w:p>
    <w:p>
      <w:pPr>
        <w:pStyle w:val="Normal"/>
        <w:widowControl/>
        <w:jc w:val="both"/>
        <w:rPr>
          <w:sz w:val="20"/>
        </w:rPr>
      </w:pPr>
      <w:r>
        <w:rPr>
          <w:sz w:val="20"/>
        </w:rPr>
      </w:r>
    </w:p>
    <w:p>
      <w:pPr>
        <w:pStyle w:val="Normal"/>
        <w:widowControl/>
        <w:jc w:val="both"/>
        <w:rPr>
          <w:sz w:val="20"/>
        </w:rPr>
      </w:pPr>
      <w:r>
        <w:rPr>
          <w:sz w:val="20"/>
        </w:rPr>
        <w:t xml:space="preserve">To: </w:t>
        <w:tab/>
        <w:tab/>
        <w:t>Wilton Trust (“Party B”)</w:t>
      </w:r>
    </w:p>
    <w:p>
      <w:pPr>
        <w:pStyle w:val="Normal"/>
        <w:widowControl/>
        <w:jc w:val="both"/>
        <w:rPr>
          <w:sz w:val="20"/>
        </w:rPr>
      </w:pPr>
      <w:r>
        <w:rPr>
          <w:sz w:val="20"/>
        </w:rPr>
      </w:r>
    </w:p>
    <w:p>
      <w:pPr>
        <w:pStyle w:val="Normal"/>
        <w:widowControl/>
        <w:jc w:val="both"/>
        <w:rPr>
          <w:sz w:val="20"/>
        </w:rPr>
      </w:pPr>
      <w:r>
        <w:rPr>
          <w:sz w:val="20"/>
        </w:rPr>
        <w:t>Attention:</w:t>
        <w:tab/>
        <w:t>Robina Barker-Bennett</w:t>
      </w:r>
    </w:p>
    <w:p>
      <w:pPr>
        <w:pStyle w:val="Normal"/>
        <w:widowControl/>
        <w:jc w:val="both"/>
        <w:rPr>
          <w:sz w:val="20"/>
        </w:rPr>
      </w:pPr>
      <w:r>
        <w:rPr>
          <w:sz w:val="20"/>
        </w:rPr>
      </w:r>
    </w:p>
    <w:p>
      <w:pPr>
        <w:pStyle w:val="Normal"/>
        <w:widowControl/>
        <w:jc w:val="both"/>
        <w:rPr>
          <w:sz w:val="20"/>
        </w:rPr>
      </w:pPr>
      <w:r>
        <w:rPr>
          <w:sz w:val="20"/>
        </w:rPr>
        <w:t>Fax No.:</w:t>
        <w:tab/>
        <w:tab/>
        <w:t>011-44-171-</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M180816</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w:t>
      </w:r>
      <w:r>
        <w:rPr>
          <w:color w:val="FF0000"/>
          <w:sz w:val="20"/>
        </w:rPr>
        <w:t>June 25, 1999</w:t>
      </w:r>
      <w:r>
        <w:rPr>
          <w:sz w:val="20"/>
        </w:rPr>
        <w:t>,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BodyTextIndent"/>
        <w:widowControl/>
        <w:ind w:start="0" w:end="0"/>
        <w:rPr>
          <w:b/>
          <w:sz w:val="20"/>
        </w:rPr>
      </w:pPr>
      <w:r>
        <w:rPr>
          <w:b/>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June 28,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August 12,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August 12, 2009,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 xml:space="preserve">USD Floating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Payer</w:t>
            </w:r>
          </w:p>
          <w:p>
            <w:pPr>
              <w:pStyle w:val="BodyTextIndent"/>
              <w:widowControl/>
              <w:tabs>
                <w:tab w:val="left" w:pos="90" w:leader="none"/>
                <w:tab w:val="left" w:pos="2160" w:leader="none"/>
                <w:tab w:val="left" w:pos="4140" w:leader="none"/>
                <w:tab w:val="left" w:pos="6480" w:leader="none"/>
              </w:tabs>
              <w:ind w:firstLine="720" w:start="0" w:end="0"/>
              <w:rPr/>
            </w:pPr>
            <w:r>
              <w:rPr/>
              <w:t xml:space="preserve"> </w:t>
            </w:r>
            <w:r>
              <w:rPr/>
              <w:t>Currency Amount:</w:t>
            </w:r>
          </w:p>
        </w:tc>
        <w:tc>
          <w:tcPr>
            <w:tcW w:w="4428" w:type="dxa"/>
            <w:tcBorders/>
          </w:tcPr>
          <w:p>
            <w:pPr>
              <w:pStyle w:val="Normal"/>
              <w:snapToGrid w:val="false"/>
              <w:jc w:val="both"/>
              <w:rPr>
                <w:sz w:val="20"/>
              </w:rPr>
            </w:pPr>
            <w:r>
              <w:rPr>
                <w:sz w:val="20"/>
              </w:rPr>
            </w:r>
          </w:p>
          <w:p>
            <w:pPr>
              <w:pStyle w:val="Normal"/>
              <w:jc w:val="both"/>
              <w:rPr>
                <w:sz w:val="20"/>
              </w:rPr>
            </w:pPr>
            <w:r>
              <w:rPr>
                <w:sz w:val="20"/>
              </w:rPr>
              <w:t>USD 71,460,000.00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USD Floating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August 12, November 12, February 12, and May 12, from and including November 12, 1999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Designated Maturity: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Three months</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Day</w:t>
            </w:r>
          </w:p>
          <w:p>
            <w:pPr>
              <w:pStyle w:val="BodyTextIndent"/>
              <w:widowControl/>
              <w:tabs>
                <w:tab w:val="left" w:pos="90" w:leader="none"/>
                <w:tab w:val="left" w:pos="2160" w:leader="none"/>
                <w:tab w:val="left" w:pos="4140" w:leader="none"/>
                <w:tab w:val="left" w:pos="6480" w:leader="none"/>
              </w:tabs>
              <w:ind w:firstLine="720" w:start="0" w:end="0"/>
              <w:rPr/>
            </w:pPr>
            <w:r>
              <w:rPr/>
              <w:t>Count Fraction:</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USD Floating Rate Payer Calculation Period</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Compounding:</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Inapplicable</w:t>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GBP 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9468" w:type="dxa"/>
        <w:jc w:val="start"/>
        <w:tblInd w:w="0" w:type="dxa"/>
        <w:tblLayout w:type="fixed"/>
        <w:tblCellMar>
          <w:top w:w="0" w:type="dxa"/>
          <w:start w:w="108" w:type="dxa"/>
          <w:bottom w:w="0" w:type="dxa"/>
          <w:end w:w="108" w:type="dxa"/>
        </w:tblCellMar>
      </w:tblPr>
      <w:tblGrid>
        <w:gridCol w:w="3528"/>
        <w:gridCol w:w="900"/>
        <w:gridCol w:w="90"/>
        <w:gridCol w:w="1980"/>
        <w:gridCol w:w="2340"/>
        <w:gridCol w:w="486"/>
        <w:gridCol w:w="144"/>
      </w:tblGrid>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GBP Floating Rate Payer:</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Party A</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GBP Floating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Currency Amount:</w:t>
            </w:r>
          </w:p>
        </w:tc>
        <w:tc>
          <w:tcPr>
            <w:tcW w:w="4410" w:type="dxa"/>
            <w:gridSpan w:val="3"/>
            <w:tcBorders/>
          </w:tcPr>
          <w:p>
            <w:pPr>
              <w:pStyle w:val="Normal"/>
              <w:snapToGrid w:val="false"/>
              <w:jc w:val="both"/>
              <w:rPr>
                <w:sz w:val="20"/>
              </w:rPr>
            </w:pPr>
            <w:r>
              <w:rPr>
                <w:sz w:val="20"/>
              </w:rPr>
            </w:r>
          </w:p>
          <w:p>
            <w:pPr>
              <w:pStyle w:val="Normal"/>
              <w:jc w:val="both"/>
              <w:rPr>
                <w:sz w:val="20"/>
              </w:rPr>
            </w:pPr>
            <w:r>
              <w:rPr>
                <w:sz w:val="20"/>
              </w:rPr>
              <w:t>GBP 45,000,000.00</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Floating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Payment Dates:</w:t>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August 12, and February 12, from and including February 12, 2000 to and including the Termination Date, subject to adjustment in accordance with the Modified Following Business Day Convention</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Floating Rate Option:</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GBP-LIBOR-BBA</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Designated Maturity:</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Six months</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Spread:</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Minus 2.5  percent</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Floating Rate Day Count Fraction: </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Actual/365 (fixed)</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Reset Dates:</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Compounding:</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Inapplicable</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rPr>
                <w:sz w:val="20"/>
              </w:rPr>
            </w:pPr>
            <w:r>
              <w:rPr>
                <w:sz w:val="20"/>
              </w:rPr>
              <w:t>Initial Exchange:</w:t>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Initial Exchange Date:</w:t>
            </w:r>
          </w:p>
        </w:tc>
        <w:tc>
          <w:tcPr>
            <w:tcW w:w="4896" w:type="dxa"/>
            <w:gridSpan w:val="4"/>
            <w:tcBorders/>
          </w:tcPr>
          <w:p>
            <w:pPr>
              <w:pStyle w:val="Normal"/>
              <w:widowControl/>
              <w:spacing w:before="60" w:after="0"/>
              <w:jc w:val="both"/>
              <w:rPr>
                <w:sz w:val="20"/>
              </w:rPr>
            </w:pPr>
            <w:r>
              <w:rPr>
                <w:sz w:val="20"/>
              </w:rPr>
              <w:t>August 12, 1999</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A Initial Exchange Amount:</w:t>
            </w:r>
          </w:p>
        </w:tc>
        <w:tc>
          <w:tcPr>
            <w:tcW w:w="4896" w:type="dxa"/>
            <w:gridSpan w:val="4"/>
            <w:tcBorders/>
          </w:tcPr>
          <w:p>
            <w:pPr>
              <w:pStyle w:val="Normal"/>
              <w:widowControl/>
              <w:spacing w:before="60" w:after="0"/>
              <w:jc w:val="both"/>
              <w:rPr>
                <w:sz w:val="20"/>
              </w:rPr>
            </w:pPr>
            <w:r>
              <w:rPr>
                <w:sz w:val="20"/>
              </w:rPr>
              <w:t>USD 71,460,000.00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B Initial Exchange Amount:</w:t>
            </w:r>
          </w:p>
        </w:tc>
        <w:tc>
          <w:tcPr>
            <w:tcW w:w="4896" w:type="dxa"/>
            <w:gridSpan w:val="4"/>
            <w:tcBorders/>
          </w:tcPr>
          <w:p>
            <w:pPr>
              <w:pStyle w:val="Normal"/>
              <w:widowControl/>
              <w:spacing w:before="60" w:after="0"/>
              <w:jc w:val="both"/>
              <w:rPr>
                <w:sz w:val="20"/>
              </w:rPr>
            </w:pPr>
            <w:r>
              <w:rPr>
                <w:sz w:val="20"/>
              </w:rPr>
              <w:t>GBP 45,000,000.00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rPr>
                <w:sz w:val="20"/>
              </w:rPr>
            </w:pPr>
            <w:r>
              <w:rPr>
                <w:sz w:val="20"/>
              </w:rPr>
              <w:t>Final Exchange:</w:t>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Final Exchange Date:</w:t>
            </w:r>
          </w:p>
        </w:tc>
        <w:tc>
          <w:tcPr>
            <w:tcW w:w="4896" w:type="dxa"/>
            <w:gridSpan w:val="4"/>
            <w:tcBorders/>
          </w:tcPr>
          <w:p>
            <w:pPr>
              <w:pStyle w:val="Normal"/>
              <w:widowControl/>
              <w:spacing w:before="60" w:after="0"/>
              <w:jc w:val="both"/>
              <w:rPr>
                <w:sz w:val="20"/>
              </w:rPr>
            </w:pPr>
            <w:r>
              <w:rPr>
                <w:sz w:val="20"/>
              </w:rPr>
              <w:t>August 12, 2009</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A Final Exchange Amount:</w:t>
            </w:r>
          </w:p>
        </w:tc>
        <w:tc>
          <w:tcPr>
            <w:tcW w:w="4896" w:type="dxa"/>
            <w:gridSpan w:val="4"/>
            <w:tcBorders/>
          </w:tcPr>
          <w:p>
            <w:pPr>
              <w:pStyle w:val="Normal"/>
              <w:widowControl/>
              <w:spacing w:before="60" w:after="0"/>
              <w:jc w:val="both"/>
              <w:rPr>
                <w:sz w:val="20"/>
              </w:rPr>
            </w:pPr>
            <w:r>
              <w:rPr>
                <w:sz w:val="20"/>
              </w:rPr>
              <w:t>GBP 45,000,000.00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B Final Exchange Amount:</w:t>
            </w:r>
          </w:p>
        </w:tc>
        <w:tc>
          <w:tcPr>
            <w:tcW w:w="4896" w:type="dxa"/>
            <w:gridSpan w:val="4"/>
            <w:tcBorders/>
          </w:tcPr>
          <w:p>
            <w:pPr>
              <w:pStyle w:val="Normal"/>
              <w:widowControl/>
              <w:spacing w:before="60" w:after="0"/>
              <w:jc w:val="both"/>
              <w:rPr>
                <w:sz w:val="20"/>
              </w:rPr>
            </w:pPr>
            <w:r>
              <w:rPr>
                <w:sz w:val="20"/>
              </w:rPr>
              <w:t>USD 71,460,000.00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jc w:val="both"/>
              <w:rPr>
                <w:sz w:val="20"/>
              </w:rPr>
            </w:pPr>
            <w:r>
              <w:rPr>
                <w:sz w:val="20"/>
              </w:rPr>
              <w:t>3. Business Days</w:t>
            </w:r>
          </w:p>
        </w:tc>
        <w:tc>
          <w:tcPr>
            <w:tcW w:w="4896" w:type="dxa"/>
            <w:gridSpan w:val="4"/>
            <w:tcBorders/>
          </w:tcPr>
          <w:p>
            <w:pPr>
              <w:pStyle w:val="Normal"/>
              <w:widowControl/>
              <w:spacing w:before="60" w:after="0"/>
              <w:jc w:val="both"/>
              <w:rPr>
                <w:sz w:val="20"/>
              </w:rPr>
            </w:pPr>
            <w:r>
              <w:rPr>
                <w:sz w:val="20"/>
              </w:rPr>
              <w:t>New York and London</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jc w:val="both"/>
              <w:rPr>
                <w:sz w:val="20"/>
              </w:rPr>
            </w:pPr>
            <w:r>
              <w:rPr>
                <w:sz w:val="20"/>
              </w:rPr>
              <w:t>4. Calculation Agent:</w:t>
            </w:r>
          </w:p>
        </w:tc>
        <w:tc>
          <w:tcPr>
            <w:tcW w:w="4896" w:type="dxa"/>
            <w:gridSpan w:val="4"/>
            <w:tcBorders/>
          </w:tcPr>
          <w:p>
            <w:pPr>
              <w:pStyle w:val="Normal"/>
              <w:widowControl/>
              <w:spacing w:before="60" w:after="0"/>
              <w:jc w:val="both"/>
              <w:rPr>
                <w:sz w:val="20"/>
              </w:rPr>
            </w:pPr>
            <w:r>
              <w:rPr>
                <w:sz w:val="20"/>
              </w:rPr>
              <w:t>Party A</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jc w:val="both"/>
              <w:rPr>
                <w:sz w:val="20"/>
              </w:rPr>
            </w:pPr>
            <w:r>
              <w:rPr>
                <w:sz w:val="20"/>
              </w:rPr>
              <w:t>5. Account Details:</w:t>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ind w:start="720" w:end="0"/>
              <w:jc w:val="both"/>
              <w:rPr>
                <w:sz w:val="20"/>
              </w:rPr>
            </w:pPr>
            <w:r>
              <w:rPr>
                <w:sz w:val="20"/>
              </w:rPr>
              <w:t>Payments to ECT:</w:t>
            </w:r>
          </w:p>
        </w:tc>
        <w:tc>
          <w:tcPr>
            <w:tcW w:w="2070" w:type="dxa"/>
            <w:gridSpan w:val="2"/>
            <w:tcBorders/>
          </w:tcPr>
          <w:p>
            <w:pPr>
              <w:pStyle w:val="Normal"/>
              <w:widowControl/>
              <w:spacing w:before="60" w:after="0"/>
              <w:jc w:val="both"/>
              <w:rPr>
                <w:sz w:val="20"/>
              </w:rPr>
            </w:pPr>
            <w:r>
              <w:rPr>
                <w:sz w:val="20"/>
              </w:rPr>
              <w:t xml:space="preserve">USD—NationsBank, </w:t>
            </w:r>
          </w:p>
          <w:p>
            <w:pPr>
              <w:pStyle w:val="Normal"/>
              <w:widowControl/>
              <w:spacing w:before="60" w:after="0"/>
              <w:jc w:val="both"/>
              <w:rPr>
                <w:sz w:val="20"/>
              </w:rPr>
            </w:pPr>
            <w:r>
              <w:rPr>
                <w:sz w:val="20"/>
              </w:rPr>
              <w:t>ABA 111-000-012</w:t>
            </w:r>
          </w:p>
          <w:p>
            <w:pPr>
              <w:pStyle w:val="Normal"/>
              <w:widowControl/>
              <w:spacing w:before="60" w:after="0"/>
              <w:ind w:end="-144"/>
              <w:jc w:val="both"/>
              <w:rPr>
                <w:sz w:val="20"/>
              </w:rPr>
            </w:pPr>
            <w:r>
              <w:rPr>
                <w:sz w:val="20"/>
              </w:rPr>
              <w:t>Acct.  3750494727</w:t>
            </w:r>
          </w:p>
        </w:tc>
        <w:tc>
          <w:tcPr>
            <w:tcW w:w="2826" w:type="dxa"/>
            <w:gridSpan w:val="2"/>
            <w:tcBorders/>
          </w:tcPr>
          <w:p>
            <w:pPr>
              <w:pStyle w:val="BodyTextIndent2"/>
              <w:widowControl/>
              <w:spacing w:before="60" w:after="0"/>
              <w:ind w:hanging="0" w:start="-72" w:end="0"/>
              <w:jc w:val="both"/>
              <w:rPr/>
            </w:pPr>
            <w:r>
              <w:rPr/>
              <w:t>GBP—Citibank, London</w:t>
            </w:r>
          </w:p>
          <w:p>
            <w:pPr>
              <w:pStyle w:val="Normal"/>
              <w:widowControl/>
              <w:spacing w:before="60" w:after="0"/>
              <w:ind w:start="-108" w:end="0"/>
              <w:jc w:val="both"/>
              <w:rPr>
                <w:sz w:val="20"/>
              </w:rPr>
            </w:pPr>
            <w:r>
              <w:rPr>
                <w:sz w:val="20"/>
              </w:rPr>
              <w:t>Sort Code:  18-50-08</w:t>
            </w:r>
          </w:p>
          <w:p>
            <w:pPr>
              <w:pStyle w:val="Normal"/>
              <w:widowControl/>
              <w:spacing w:before="60" w:after="0"/>
              <w:ind w:start="-108" w:end="0"/>
              <w:jc w:val="both"/>
              <w:rPr>
                <w:sz w:val="20"/>
              </w:rPr>
            </w:pPr>
            <w:r>
              <w:rPr>
                <w:sz w:val="20"/>
              </w:rPr>
              <w:t>Acct.  8143692</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ind w:start="720" w:end="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ind w:start="720" w:end="0"/>
              <w:jc w:val="both"/>
              <w:rPr>
                <w:sz w:val="20"/>
              </w:rPr>
            </w:pPr>
            <w:r>
              <w:rPr>
                <w:sz w:val="20"/>
              </w:rPr>
              <w:t>Payments to Counterparty:</w:t>
            </w:r>
          </w:p>
        </w:tc>
        <w:tc>
          <w:tcPr>
            <w:tcW w:w="4896" w:type="dxa"/>
            <w:gridSpan w:val="4"/>
            <w:tcBorders/>
          </w:tcPr>
          <w:p>
            <w:pPr>
              <w:pStyle w:val="Normal"/>
              <w:widowControl/>
              <w:spacing w:before="60" w:after="0"/>
              <w:jc w:val="both"/>
              <w:rPr>
                <w:sz w:val="20"/>
              </w:rPr>
            </w:pPr>
            <w:r>
              <w:rPr>
                <w:sz w:val="20"/>
              </w:rPr>
              <w:t>Please advise</w:t>
            </w:r>
          </w:p>
        </w:tc>
        <w:tc>
          <w:tcPr>
            <w:tcW w:w="144"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rPr>
                <w:sz w:val="20"/>
              </w:rPr>
            </w:pPr>
            <w:r>
              <w:rPr>
                <w:sz w:val="20"/>
              </w:rPr>
            </w:r>
          </w:p>
        </w:tc>
        <w:tc>
          <w:tcPr>
            <w:tcW w:w="5310" w:type="dxa"/>
            <w:gridSpan w:val="4"/>
            <w:tcBorders/>
          </w:tcPr>
          <w:p>
            <w:pPr>
              <w:pStyle w:val="Normal"/>
              <w:widowControl/>
              <w:snapToGrid w:val="false"/>
              <w:spacing w:before="60" w:after="0"/>
              <w:jc w:val="both"/>
              <w:rPr>
                <w:sz w:val="20"/>
              </w:rPr>
            </w:pPr>
            <w:r>
              <w:rPr>
                <w:sz w:val="20"/>
              </w:rPr>
            </w:r>
          </w:p>
        </w:tc>
        <w:tc>
          <w:tcPr>
            <w:tcW w:w="630" w:type="dxa"/>
            <w:gridSpan w:val="2"/>
            <w:tcBorders/>
            <w:tcMar>
              <w:start w:w="0" w:type="dxa"/>
              <w:end w:w="0" w:type="dxa"/>
            </w:tcMar>
          </w:tcPr>
          <w:p>
            <w:pPr>
              <w:pStyle w:val="Normal"/>
              <w:snapToGrid w:val="false"/>
              <w:rPr>
                <w:sz w:val="20"/>
              </w:rPr>
            </w:pPr>
            <w:r>
              <w:rPr>
                <w:sz w:val="20"/>
              </w:rPr>
            </w:r>
          </w:p>
        </w:tc>
      </w:tr>
      <w:tr>
        <w:trPr/>
        <w:tc>
          <w:tcPr>
            <w:tcW w:w="4518" w:type="dxa"/>
            <w:gridSpan w:val="3"/>
            <w:tcBorders/>
          </w:tcPr>
          <w:p>
            <w:pPr>
              <w:pStyle w:val="Normal"/>
              <w:widowControl/>
              <w:spacing w:before="60" w:after="0"/>
              <w:jc w:val="both"/>
              <w:rPr>
                <w:sz w:val="20"/>
              </w:rPr>
            </w:pPr>
            <w:r>
              <w:rPr>
                <w:sz w:val="20"/>
              </w:rPr>
              <w:t>6. Governing Law</w:t>
            </w:r>
          </w:p>
        </w:tc>
        <w:tc>
          <w:tcPr>
            <w:tcW w:w="4950" w:type="dxa"/>
            <w:gridSpan w:val="4"/>
            <w:tcBorders/>
          </w:tcPr>
          <w:p>
            <w:pPr>
              <w:pStyle w:val="Normal"/>
              <w:widowControl/>
              <w:spacing w:before="60" w:after="0"/>
              <w:jc w:val="both"/>
              <w:rPr>
                <w:sz w:val="20"/>
              </w:rPr>
            </w:pPr>
            <w:r>
              <w:rPr>
                <w:sz w:val="20"/>
              </w:rPr>
              <w:t xml:space="preserve">New York Law, without reference to the choice of law doctrine </w:t>
            </w:r>
          </w:p>
        </w:tc>
      </w:tr>
    </w:tbl>
    <w:p>
      <w:pPr>
        <w:pStyle w:val="Normal"/>
        <w:widowControl/>
        <w:jc w:val="both"/>
        <w:rPr>
          <w:sz w:val="20"/>
        </w:rPr>
      </w:pPr>
      <w:r>
        <w:rPr>
          <w:sz w:val="20"/>
        </w:rPr>
      </w:r>
    </w:p>
    <w:p>
      <w:pPr>
        <w:pStyle w:val="Normal"/>
        <w:widowControl/>
        <w:jc w:val="both"/>
        <w:rPr>
          <w:sz w:val="20"/>
        </w:rPr>
      </w:pPr>
      <w:r>
        <w:rPr>
          <w:sz w:val="20"/>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 xml:space="preserve">Risk Management &amp; Trading Corp. </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color w:val="FF0000"/>
          <w:sz w:val="20"/>
        </w:rPr>
      </w:pPr>
      <w:r>
        <w:rPr>
          <w:color w:val="FF0000"/>
          <w:sz w:val="20"/>
        </w:rPr>
        <w:t>Wilton Trust</w:t>
      </w:r>
    </w:p>
    <w:p>
      <w:pPr>
        <w:pStyle w:val="Normal"/>
        <w:widowControl/>
        <w:jc w:val="both"/>
        <w:rPr>
          <w:color w:val="FF0000"/>
          <w:sz w:val="20"/>
        </w:rPr>
      </w:pPr>
      <w:r>
        <w:rPr>
          <w:color w:val="FF0000"/>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spacing w:lineRule="exact" w:line="240"/>
        <w:rPr>
          <w:sz w:val="20"/>
        </w:rPr>
      </w:pPr>
      <w:r>
        <w:rPr>
          <w:sz w:val="20"/>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sz w:val="16"/>
      </w:rPr>
      <w:t>This Proposal is for discussion purposes only to facilitate the negotiation, preparation</w:t>
    </w:r>
    <w:r>
      <w:rPr>
        <w:sz w:val="16"/>
      </w:rPr>
      <w:t xml:space="preserve">, </w:t>
    </w:r>
    <w:r>
      <w:rPr>
        <w:b/>
        <w:sz w:val="16"/>
      </w:rPr>
      <w:t>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16"/>
      </w:rPr>
    </w:pPr>
    <w:r>
      <w:rPr>
        <w:b/>
        <w:sz w:val="16"/>
      </w:rPr>
      <w:t>DRAFT—FOR DISCUSSION PURPOSES ONLY</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jc w:val="both"/>
    </w:pPr>
    <w:rPr>
      <w:sz w:val="22"/>
    </w:rPr>
  </w:style>
  <w:style w:type="paragraph" w:styleId="BodyText3">
    <w:name w:val="Body Text 3"/>
    <w:basedOn w:val="Normal"/>
    <w:qFormat/>
    <w:pPr>
      <w:jc w:val="both"/>
    </w:pPr>
    <w:rPr>
      <w:sz w:val="20"/>
    </w:rPr>
  </w:style>
  <w:style w:type="paragraph" w:styleId="BodyTextIndent2">
    <w:name w:val="Body Text Indent 2"/>
    <w:basedOn w:val="Normal"/>
    <w:qFormat/>
    <w:pPr>
      <w:widowControl/>
      <w:spacing w:before="60" w:after="0"/>
      <w:ind w:hanging="0" w:start="-7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1999-06-29T17:26:00Z</dcterms:created>
  <dc:creator>ECT</dc:creator>
  <dc:description/>
  <dc:language>en-CA</dc:language>
  <cp:lastModifiedBy>laurel adams</cp:lastModifiedBy>
  <cp:lastPrinted>1999-05-11T16:42:00Z</cp:lastPrinted>
  <dcterms:modified xsi:type="dcterms:W3CDTF">1999-08-02T16:14:00Z</dcterms:modified>
  <cp:revision>5</cp:revision>
  <dc:subject/>
  <dc:title> 1400 Smith  Houston, TX 77002 (713) 853-3300 Fax (713) 646-4816</dc:title>
</cp:coreProperties>
</file>