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0"/>
              </w:rPr>
            </w:pPr>
            <w:r>
              <w:rPr>
                <w:b/>
                <w:sz w:val="20"/>
              </w:rPr>
              <w:t>Enron Capital &amp; Trade Resources Corp</w:t>
            </w:r>
          </w:p>
          <w:p>
            <w:pPr>
              <w:pStyle w:val="Normal"/>
              <w:tabs>
                <w:tab w:val="clear" w:pos="720"/>
                <w:tab w:val="left" w:pos="2412" w:leader="none"/>
              </w:tabs>
              <w:ind w:start="1782" w:end="0"/>
              <w:jc w:val="end"/>
              <w:rPr>
                <w:sz w:val="20"/>
              </w:rPr>
            </w:pPr>
            <w:r>
              <w:rPr>
                <w:i/>
                <w:sz w:val="20"/>
              </w:rPr>
              <w:t>P.O. Box 4428</w:t>
            </w:r>
          </w:p>
          <w:p>
            <w:pPr>
              <w:pStyle w:val="Normal"/>
              <w:tabs>
                <w:tab w:val="clear" w:pos="720"/>
                <w:tab w:val="left" w:pos="2412" w:leader="none"/>
              </w:tabs>
              <w:ind w:start="1782" w:end="0"/>
              <w:jc w:val="end"/>
              <w:rPr>
                <w:sz w:val="20"/>
              </w:rPr>
            </w:pPr>
            <w:r>
              <w:rPr>
                <w:i/>
                <w:sz w:val="20"/>
              </w:rPr>
              <w:t>Houston, TX  77210-4428</w:t>
            </w:r>
          </w:p>
          <w:p>
            <w:pPr>
              <w:pStyle w:val="Normal"/>
              <w:tabs>
                <w:tab w:val="clear" w:pos="720"/>
                <w:tab w:val="left" w:pos="2412" w:leader="none"/>
              </w:tabs>
              <w:ind w:start="1782" w:end="0"/>
              <w:jc w:val="end"/>
              <w:rPr>
                <w:sz w:val="20"/>
              </w:rPr>
            </w:pPr>
            <w:r>
              <w:rPr>
                <w:i/>
                <w:sz w:val="20"/>
              </w:rPr>
              <w:t>Phone: (713) 853-3300</w:t>
            </w:r>
          </w:p>
          <w:p>
            <w:pPr>
              <w:pStyle w:val="Normal"/>
              <w:tabs>
                <w:tab w:val="clear" w:pos="720"/>
                <w:tab w:val="left" w:pos="2412" w:leader="none"/>
              </w:tabs>
              <w:ind w:start="1782" w:end="0"/>
              <w:jc w:val="end"/>
              <w:rPr>
                <w:i/>
                <w:i/>
                <w:sz w:val="20"/>
              </w:rPr>
            </w:pPr>
            <w:r>
              <w:rPr>
                <w:i/>
                <w:sz w:val="20"/>
              </w:rPr>
              <w:t>Fax:  (713) 646-4816</w:t>
            </w:r>
          </w:p>
          <w:p>
            <w:pPr>
              <w:pStyle w:val="Normal"/>
              <w:tabs>
                <w:tab w:val="clear" w:pos="720"/>
                <w:tab w:val="left" w:pos="2412" w:leader="none"/>
              </w:tabs>
              <w:ind w:start="1782" w:end="0"/>
              <w:rPr>
                <w:i/>
                <w:i/>
                <w:sz w:val="20"/>
              </w:rPr>
            </w:pPr>
            <w:r>
              <w:rPr>
                <w:i/>
                <w:sz w:val="20"/>
              </w:rPr>
            </w:r>
          </w:p>
        </w:tc>
      </w:tr>
    </w:tbl>
    <w:p>
      <w:pPr>
        <w:pStyle w:val="Caption"/>
        <w:widowControl/>
        <w:ind w:firstLine="720" w:start="72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157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157605" cy="146685"/>
                        </a:xfrm>
                        <a:prstGeom prst="rect"/>
                        <a:solidFill>
                          <a:srgbClr val="FFFFFF">
                            <a:alpha val="0"/>
                          </a:srgbClr>
                        </a:solidFill>
                      </wps:spPr>
                      <wps:txbx>
                        <w:txbxContent>
                          <w:p>
                            <w:pPr>
                              <w:pStyle w:val="Normal"/>
                              <w:widowControl/>
                              <w:ind w:start="1800" w:end="0"/>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9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ind w:start="1800" w:end="0"/>
                        <w:jc w:val="center"/>
                        <w:rPr>
                          <w:sz w:val="20"/>
                        </w:rPr>
                      </w:pPr>
                      <w:r>
                        <w:rPr>
                          <w:sz w:val="20"/>
                        </w:rPr>
                      </w:r>
                    </w:p>
                  </w:txbxContent>
                </v:textbox>
                <w10:wrap type="square"/>
              </v:rect>
            </w:pict>
          </mc:Fallback>
        </mc:AlternateContent>
      </w:r>
    </w:p>
    <w:p>
      <w:pPr>
        <w:pStyle w:val="Normal"/>
        <w:widowControl/>
        <w:rPr>
          <w:b/>
          <w:sz w:val="20"/>
          <w:u w:val="single"/>
        </w:rPr>
      </w:pPr>
      <w:r>
        <w:rPr>
          <w:b/>
          <w:sz w:val="20"/>
          <w:u w:val="single"/>
        </w:rPr>
      </w:r>
    </w:p>
    <w:p>
      <w:pPr>
        <w:pStyle w:val="Normal"/>
        <w:widowControl/>
        <w:rPr>
          <w:b/>
          <w:sz w:val="20"/>
          <w:u w:val="single"/>
        </w:rPr>
      </w:pPr>
      <w:r>
        <w:rPr>
          <w:b/>
          <w:sz w:val="20"/>
          <w:u w:val="single"/>
        </w:rPr>
      </w:r>
    </w:p>
    <w:p>
      <w:pPr>
        <w:pStyle w:val="Normal"/>
        <w:widowControl/>
        <w:jc w:val="both"/>
        <w:rPr>
          <w:sz w:val="20"/>
        </w:rPr>
      </w:pPr>
      <w:r>
        <w:rPr>
          <w:sz w:val="20"/>
        </w:rPr>
        <w:t>Date:</w:t>
        <w:tab/>
        <w:tab/>
        <w:t>June 25, 1999</w:t>
      </w:r>
    </w:p>
    <w:p>
      <w:pPr>
        <w:pStyle w:val="Normal"/>
        <w:widowControl/>
        <w:jc w:val="both"/>
        <w:rPr>
          <w:sz w:val="20"/>
        </w:rPr>
      </w:pPr>
      <w:r>
        <w:rPr>
          <w:sz w:val="20"/>
        </w:rPr>
      </w:r>
    </w:p>
    <w:p>
      <w:pPr>
        <w:pStyle w:val="Normal"/>
        <w:widowControl/>
        <w:jc w:val="both"/>
        <w:rPr>
          <w:sz w:val="20"/>
        </w:rPr>
      </w:pPr>
      <w:r>
        <w:rPr>
          <w:sz w:val="20"/>
        </w:rPr>
        <w:t xml:space="preserve">To: </w:t>
        <w:tab/>
        <w:tab/>
        <w:t>Wilton Trust (“Party B”)</w:t>
      </w:r>
    </w:p>
    <w:p>
      <w:pPr>
        <w:pStyle w:val="Normal"/>
        <w:widowControl/>
        <w:jc w:val="both"/>
        <w:rPr>
          <w:sz w:val="20"/>
        </w:rPr>
      </w:pPr>
      <w:r>
        <w:rPr>
          <w:sz w:val="20"/>
        </w:rPr>
      </w:r>
    </w:p>
    <w:p>
      <w:pPr>
        <w:pStyle w:val="Normal"/>
        <w:widowControl/>
        <w:jc w:val="both"/>
        <w:rPr>
          <w:sz w:val="20"/>
        </w:rPr>
      </w:pPr>
      <w:r>
        <w:rPr>
          <w:sz w:val="20"/>
        </w:rPr>
        <w:t>Attention:</w:t>
        <w:tab/>
        <w:t>Robina Barker-Bennett</w:t>
      </w:r>
    </w:p>
    <w:p>
      <w:pPr>
        <w:pStyle w:val="Normal"/>
        <w:widowControl/>
        <w:jc w:val="both"/>
        <w:rPr>
          <w:sz w:val="20"/>
        </w:rPr>
      </w:pPr>
      <w:r>
        <w:rPr>
          <w:sz w:val="20"/>
        </w:rPr>
      </w:r>
    </w:p>
    <w:p>
      <w:pPr>
        <w:pStyle w:val="Normal"/>
        <w:widowControl/>
        <w:jc w:val="both"/>
        <w:rPr>
          <w:sz w:val="20"/>
        </w:rPr>
      </w:pPr>
      <w:r>
        <w:rPr>
          <w:sz w:val="20"/>
        </w:rPr>
        <w:t>Fax No.:</w:t>
        <w:tab/>
        <w:tab/>
        <w:t>011-44-171-</w:t>
      </w:r>
    </w:p>
    <w:p>
      <w:pPr>
        <w:pStyle w:val="Normal"/>
        <w:widowControl/>
        <w:jc w:val="both"/>
        <w:rPr>
          <w:sz w:val="20"/>
        </w:rPr>
      </w:pPr>
      <w:r>
        <w:rPr>
          <w:sz w:val="20"/>
        </w:rPr>
      </w:r>
    </w:p>
    <w:p>
      <w:pPr>
        <w:pStyle w:val="Normal"/>
        <w:widowControl/>
        <w:jc w:val="both"/>
        <w:rPr>
          <w:sz w:val="20"/>
        </w:rPr>
      </w:pPr>
      <w:r>
        <w:rPr>
          <w:sz w:val="20"/>
        </w:rPr>
        <w:t>From:</w:t>
        <w:tab/>
        <w:tab/>
        <w:t>Risk Management &amp; Trading Corp. (“Party A”)</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M180438</w:t>
      </w:r>
    </w:p>
    <w:p>
      <w:pPr>
        <w:pStyle w:val="Normal"/>
        <w:widowControl/>
        <w:jc w:val="both"/>
        <w:rPr>
          <w:color w:val="FF0000"/>
          <w:sz w:val="20"/>
        </w:rPr>
      </w:pPr>
      <w:r>
        <w:rPr>
          <w:color w:val="FF0000"/>
          <w:sz w:val="20"/>
        </w:rPr>
      </w:r>
    </w:p>
    <w:p>
      <w:pPr>
        <w:pStyle w:val="Normal"/>
        <w:widowControl/>
        <w:jc w:val="both"/>
        <w:rPr/>
      </w:pPr>
      <w:r>
        <w:rPr>
          <w:sz w:val="20"/>
        </w:rPr>
        <w:t xml:space="preserve">The purpose of this letter agreement (this “Confirmation”) is to confirm the terms and conditions of the Transaction entered into between us on the Trade Date specified below (the “Transaction”). This Confirmation constitutes a “Confirmation” as referred to in the </w:t>
      </w:r>
      <w:r>
        <w:rPr>
          <w:color w:val="FF00FF"/>
          <w:sz w:val="20"/>
        </w:rPr>
        <w:t>ISDA Master Agreement</w:t>
      </w:r>
      <w:r>
        <w:rPr>
          <w:sz w:val="20"/>
        </w:rPr>
        <w:t xml:space="preserve"> specified below.</w:t>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supplemented by the 1998 Supplement)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pPr>
      <w:r>
        <w:rPr>
          <w:sz w:val="20"/>
        </w:rPr>
        <w:t>1.</w:t>
        <w:tab/>
        <w:t xml:space="preserve">This Confirmation supplements, forms part of, and is subject to, the </w:t>
      </w:r>
      <w:r>
        <w:rPr>
          <w:color w:val="FF00FF"/>
          <w:sz w:val="20"/>
        </w:rPr>
        <w:t>ISDA Master Agreement</w:t>
      </w:r>
      <w:r>
        <w:rPr>
          <w:sz w:val="20"/>
        </w:rPr>
        <w:t xml:space="preserve"> dated as of </w:t>
      </w:r>
      <w:r>
        <w:rPr>
          <w:color w:val="FF0000"/>
          <w:sz w:val="20"/>
        </w:rPr>
        <w:t>June 25, 1999</w:t>
      </w:r>
      <w:r>
        <w:rPr>
          <w:sz w:val="20"/>
        </w:rPr>
        <w:t>,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BodyTextIndent"/>
        <w:widowControl/>
        <w:ind w:start="0" w:end="0"/>
        <w:rPr>
          <w:b/>
          <w:sz w:val="20"/>
        </w:rPr>
      </w:pPr>
      <w:r>
        <w:rPr>
          <w:b/>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June 25,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August 12, 1999</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August 12, 2009,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t xml:space="preserve">USD Floating Amounts: </w:t>
      </w:r>
    </w:p>
    <w:p>
      <w:pPr>
        <w:pStyle w:val="BodyTextIndent"/>
        <w:widowControl/>
        <w:tabs>
          <w:tab w:val="left" w:pos="90" w:leader="none"/>
          <w:tab w:val="left" w:pos="2160" w:leader="none"/>
          <w:tab w:val="left" w:pos="4140" w:leader="none"/>
          <w:tab w:val="left" w:pos="6480" w:leader="none"/>
        </w:tabs>
        <w:ind w:hanging="720" w:start="0" w:end="0"/>
        <w:rPr/>
      </w:pPr>
      <w:r>
        <w:rPr/>
        <w:tab/>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Party 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Payer</w:t>
            </w:r>
          </w:p>
          <w:p>
            <w:pPr>
              <w:pStyle w:val="BodyTextIndent"/>
              <w:widowControl/>
              <w:tabs>
                <w:tab w:val="left" w:pos="90" w:leader="none"/>
                <w:tab w:val="left" w:pos="2160" w:leader="none"/>
                <w:tab w:val="left" w:pos="4140" w:leader="none"/>
                <w:tab w:val="left" w:pos="6480" w:leader="none"/>
              </w:tabs>
              <w:ind w:firstLine="720" w:start="0" w:end="0"/>
              <w:rPr/>
            </w:pPr>
            <w:r>
              <w:rPr/>
              <w:t xml:space="preserve"> </w:t>
            </w:r>
            <w:r>
              <w:rPr/>
              <w:t>Currency Amount:</w:t>
            </w:r>
          </w:p>
        </w:tc>
        <w:tc>
          <w:tcPr>
            <w:tcW w:w="4428" w:type="dxa"/>
            <w:tcBorders/>
          </w:tcPr>
          <w:p>
            <w:pPr>
              <w:pStyle w:val="Normal"/>
              <w:snapToGrid w:val="false"/>
              <w:jc w:val="both"/>
              <w:rPr>
                <w:sz w:val="20"/>
              </w:rPr>
            </w:pPr>
            <w:r>
              <w:rPr>
                <w:sz w:val="20"/>
              </w:rPr>
            </w:r>
          </w:p>
          <w:p>
            <w:pPr>
              <w:pStyle w:val="Normal"/>
              <w:jc w:val="both"/>
              <w:rPr>
                <w:sz w:val="20"/>
              </w:rPr>
            </w:pPr>
            <w:r>
              <w:rPr>
                <w:sz w:val="20"/>
              </w:rPr>
              <w:t>USD 119,100,000.00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USD Floating Rate Payer </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August 12, November 12, February 12, and May 12, from and including November 12, 1999 to and including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 xml:space="preserve">Designated Maturity: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Three months</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USD Floating Rate Day</w:t>
            </w:r>
          </w:p>
          <w:p>
            <w:pPr>
              <w:pStyle w:val="BodyTextIndent"/>
              <w:widowControl/>
              <w:tabs>
                <w:tab w:val="left" w:pos="90" w:leader="none"/>
                <w:tab w:val="left" w:pos="2160" w:leader="none"/>
                <w:tab w:val="left" w:pos="4140" w:leader="none"/>
                <w:tab w:val="left" w:pos="6480" w:leader="none"/>
              </w:tabs>
              <w:ind w:firstLine="720" w:start="0" w:end="0"/>
              <w:rPr/>
            </w:pPr>
            <w:r>
              <w:rPr/>
              <w:t>Count Fraction:</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Actual/360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Reset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first day of each USD Floating Rate Payer Calculation Period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Compounding:</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Inapplicable</w:t>
            </w:r>
          </w:p>
        </w:tc>
      </w:tr>
    </w:tbl>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b/>
        </w:rPr>
        <w:t>GBP Floating Amounts:</w:t>
      </w:r>
      <w:r>
        <w:rPr/>
        <w:t xml:space="preserve"> </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bl>
      <w:tblPr>
        <w:tblW w:w="9468" w:type="dxa"/>
        <w:jc w:val="start"/>
        <w:tblInd w:w="0" w:type="dxa"/>
        <w:tblLayout w:type="fixed"/>
        <w:tblCellMar>
          <w:top w:w="0" w:type="dxa"/>
          <w:start w:w="108" w:type="dxa"/>
          <w:bottom w:w="0" w:type="dxa"/>
          <w:end w:w="108" w:type="dxa"/>
        </w:tblCellMar>
      </w:tblPr>
      <w:tblGrid>
        <w:gridCol w:w="3528"/>
        <w:gridCol w:w="900"/>
        <w:gridCol w:w="90"/>
        <w:gridCol w:w="1980"/>
        <w:gridCol w:w="2340"/>
        <w:gridCol w:w="486"/>
        <w:gridCol w:w="144"/>
      </w:tblGrid>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GBP Floating Rate Payer:</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Party B</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GBP Floating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Currency Amount:</w:t>
            </w:r>
          </w:p>
        </w:tc>
        <w:tc>
          <w:tcPr>
            <w:tcW w:w="4410" w:type="dxa"/>
            <w:gridSpan w:val="3"/>
            <w:tcBorders/>
          </w:tcPr>
          <w:p>
            <w:pPr>
              <w:pStyle w:val="Normal"/>
              <w:snapToGrid w:val="false"/>
              <w:jc w:val="both"/>
              <w:rPr>
                <w:sz w:val="20"/>
              </w:rPr>
            </w:pPr>
            <w:r>
              <w:rPr>
                <w:sz w:val="20"/>
              </w:rPr>
            </w:r>
          </w:p>
          <w:p>
            <w:pPr>
              <w:pStyle w:val="Normal"/>
              <w:jc w:val="both"/>
              <w:rPr>
                <w:sz w:val="20"/>
              </w:rPr>
            </w:pPr>
            <w:r>
              <w:rPr>
                <w:sz w:val="20"/>
              </w:rPr>
              <w:t>GBP 75,000,000.00</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Payer </w:t>
            </w:r>
          </w:p>
          <w:p>
            <w:pPr>
              <w:pStyle w:val="BodyTextIndent"/>
              <w:widowControl/>
              <w:tabs>
                <w:tab w:val="left" w:pos="90" w:leader="none"/>
                <w:tab w:val="left" w:pos="2160" w:leader="none"/>
                <w:tab w:val="left" w:pos="4140" w:leader="none"/>
                <w:tab w:val="left" w:pos="6480" w:leader="none"/>
              </w:tabs>
              <w:ind w:hanging="90" w:start="720" w:end="0"/>
              <w:jc w:val="start"/>
              <w:rPr/>
            </w:pPr>
            <w:r>
              <w:rPr/>
              <w:t>Payment Dates:</w:t>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Each August 12, and February 12, from and including February 12, 2000 to and including the Termination Date, subject to adjustment in accordance with the Modified Following Business Day Convention</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Floating Rate Option:</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GBP-LIBOR-BBA</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Designated Maturity:</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Six months</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Spread:</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Minus 2.5  percent</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Floating Rate Day Count Fraction: </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Reset Dates:</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The first day of each Floating Rate Payer Calculation Period</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Compounding:</w:t>
            </w:r>
          </w:p>
        </w:tc>
        <w:tc>
          <w:tcPr>
            <w:tcW w:w="4410" w:type="dxa"/>
            <w:gridSpan w:val="3"/>
            <w:tcBorders/>
          </w:tcPr>
          <w:p>
            <w:pPr>
              <w:pStyle w:val="BodyTextIndent"/>
              <w:widowControl/>
              <w:tabs>
                <w:tab w:val="left" w:pos="90" w:leader="none"/>
                <w:tab w:val="left" w:pos="2160" w:leader="none"/>
                <w:tab w:val="left" w:pos="4140" w:leader="none"/>
                <w:tab w:val="left" w:pos="6480" w:leader="none"/>
              </w:tabs>
              <w:ind w:start="0" w:end="0"/>
              <w:rPr/>
            </w:pPr>
            <w:r>
              <w:rPr/>
              <w:t>Inapplicable</w:t>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10" w:type="dxa"/>
            <w:gridSpan w:val="3"/>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c>
          <w:tcPr>
            <w:tcW w:w="630" w:type="dxa"/>
            <w:gridSpan w:val="2"/>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rPr>
                <w:sz w:val="20"/>
              </w:rPr>
            </w:pPr>
            <w:r>
              <w:rPr>
                <w:sz w:val="20"/>
              </w:rPr>
              <w:t>Initial Exchange:</w:t>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Initial Exchange Date:</w:t>
            </w:r>
          </w:p>
        </w:tc>
        <w:tc>
          <w:tcPr>
            <w:tcW w:w="4896" w:type="dxa"/>
            <w:gridSpan w:val="4"/>
            <w:tcBorders/>
          </w:tcPr>
          <w:p>
            <w:pPr>
              <w:pStyle w:val="Normal"/>
              <w:widowControl/>
              <w:spacing w:before="60" w:after="0"/>
              <w:jc w:val="both"/>
              <w:rPr>
                <w:sz w:val="20"/>
              </w:rPr>
            </w:pPr>
            <w:r>
              <w:rPr>
                <w:sz w:val="20"/>
              </w:rPr>
              <w:t>August 12, 1999</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A Initial Exchange Amount:</w:t>
            </w:r>
          </w:p>
        </w:tc>
        <w:tc>
          <w:tcPr>
            <w:tcW w:w="4896" w:type="dxa"/>
            <w:gridSpan w:val="4"/>
            <w:tcBorders/>
          </w:tcPr>
          <w:p>
            <w:pPr>
              <w:pStyle w:val="Normal"/>
              <w:widowControl/>
              <w:spacing w:before="60" w:after="0"/>
              <w:jc w:val="both"/>
              <w:rPr>
                <w:sz w:val="20"/>
              </w:rPr>
            </w:pPr>
            <w:r>
              <w:rPr>
                <w:sz w:val="20"/>
              </w:rPr>
              <w:t>GBP 75,000,000.00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B Initial Exchange Amount:</w:t>
            </w:r>
          </w:p>
        </w:tc>
        <w:tc>
          <w:tcPr>
            <w:tcW w:w="4896" w:type="dxa"/>
            <w:gridSpan w:val="4"/>
            <w:tcBorders/>
          </w:tcPr>
          <w:p>
            <w:pPr>
              <w:pStyle w:val="Normal"/>
              <w:widowControl/>
              <w:spacing w:before="60" w:after="0"/>
              <w:jc w:val="both"/>
              <w:rPr>
                <w:sz w:val="20"/>
              </w:rPr>
            </w:pPr>
            <w:r>
              <w:rPr>
                <w:sz w:val="20"/>
              </w:rPr>
              <w:t>USD 119,100,000.00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rPr>
                <w:sz w:val="20"/>
              </w:rPr>
            </w:pPr>
            <w:r>
              <w:rPr>
                <w:sz w:val="20"/>
              </w:rPr>
              <w:t>Final Exchange:</w:t>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Final Exchange Date:</w:t>
            </w:r>
          </w:p>
        </w:tc>
        <w:tc>
          <w:tcPr>
            <w:tcW w:w="4896" w:type="dxa"/>
            <w:gridSpan w:val="4"/>
            <w:tcBorders/>
          </w:tcPr>
          <w:p>
            <w:pPr>
              <w:pStyle w:val="Normal"/>
              <w:widowControl/>
              <w:spacing w:before="60" w:after="0"/>
              <w:jc w:val="both"/>
              <w:rPr>
                <w:sz w:val="20"/>
              </w:rPr>
            </w:pPr>
            <w:r>
              <w:rPr>
                <w:sz w:val="20"/>
              </w:rPr>
              <w:t>August 12, 2009</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A Final Exchange Amount:</w:t>
            </w:r>
          </w:p>
        </w:tc>
        <w:tc>
          <w:tcPr>
            <w:tcW w:w="4896" w:type="dxa"/>
            <w:gridSpan w:val="4"/>
            <w:tcBorders/>
          </w:tcPr>
          <w:p>
            <w:pPr>
              <w:pStyle w:val="Normal"/>
              <w:widowControl/>
              <w:spacing w:before="60" w:after="0"/>
              <w:jc w:val="both"/>
              <w:rPr>
                <w:sz w:val="20"/>
              </w:rPr>
            </w:pPr>
            <w:r>
              <w:rPr>
                <w:sz w:val="20"/>
              </w:rPr>
              <w:t>USD 119,100,000.00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ind w:start="720" w:end="0"/>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ind w:start="720" w:end="0"/>
              <w:rPr>
                <w:sz w:val="20"/>
              </w:rPr>
            </w:pPr>
            <w:r>
              <w:rPr>
                <w:sz w:val="20"/>
              </w:rPr>
              <w:t>Party B Final Exchange Amount:</w:t>
            </w:r>
          </w:p>
        </w:tc>
        <w:tc>
          <w:tcPr>
            <w:tcW w:w="4896" w:type="dxa"/>
            <w:gridSpan w:val="4"/>
            <w:tcBorders/>
          </w:tcPr>
          <w:p>
            <w:pPr>
              <w:pStyle w:val="Normal"/>
              <w:widowControl/>
              <w:spacing w:before="60" w:after="0"/>
              <w:jc w:val="both"/>
              <w:rPr>
                <w:sz w:val="20"/>
              </w:rPr>
            </w:pPr>
            <w:r>
              <w:rPr>
                <w:sz w:val="20"/>
              </w:rPr>
              <w:t>GBP 75,000,000.00</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jc w:val="both"/>
              <w:rPr>
                <w:sz w:val="20"/>
              </w:rPr>
            </w:pPr>
            <w:r>
              <w:rPr>
                <w:sz w:val="20"/>
              </w:rPr>
              <w:t>3. Business Days</w:t>
            </w:r>
          </w:p>
        </w:tc>
        <w:tc>
          <w:tcPr>
            <w:tcW w:w="4896" w:type="dxa"/>
            <w:gridSpan w:val="4"/>
            <w:tcBorders/>
          </w:tcPr>
          <w:p>
            <w:pPr>
              <w:pStyle w:val="Normal"/>
              <w:widowControl/>
              <w:spacing w:before="60" w:after="0"/>
              <w:jc w:val="both"/>
              <w:rPr>
                <w:sz w:val="20"/>
              </w:rPr>
            </w:pPr>
            <w:r>
              <w:rPr>
                <w:sz w:val="20"/>
              </w:rPr>
              <w:t>New York and London</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jc w:val="both"/>
              <w:rPr>
                <w:sz w:val="20"/>
              </w:rPr>
            </w:pPr>
            <w:r>
              <w:rPr>
                <w:sz w:val="20"/>
              </w:rPr>
              <w:t>4. Calculation Agent:</w:t>
            </w:r>
          </w:p>
        </w:tc>
        <w:tc>
          <w:tcPr>
            <w:tcW w:w="4896" w:type="dxa"/>
            <w:gridSpan w:val="4"/>
            <w:tcBorders/>
          </w:tcPr>
          <w:p>
            <w:pPr>
              <w:pStyle w:val="Normal"/>
              <w:widowControl/>
              <w:spacing w:before="60" w:after="0"/>
              <w:jc w:val="both"/>
              <w:rPr>
                <w:sz w:val="20"/>
              </w:rPr>
            </w:pPr>
            <w:r>
              <w:rPr>
                <w:sz w:val="20"/>
              </w:rPr>
              <w:t>Party A</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jc w:val="both"/>
              <w:rPr>
                <w:sz w:val="20"/>
              </w:rPr>
            </w:pPr>
            <w:r>
              <w:rPr>
                <w:sz w:val="20"/>
              </w:rPr>
              <w:t>5. Account Details:</w:t>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ind w:start="720" w:end="0"/>
              <w:jc w:val="both"/>
              <w:rPr>
                <w:sz w:val="20"/>
              </w:rPr>
            </w:pPr>
            <w:r>
              <w:rPr>
                <w:sz w:val="20"/>
              </w:rPr>
              <w:t>Payments to ECT:</w:t>
            </w:r>
          </w:p>
        </w:tc>
        <w:tc>
          <w:tcPr>
            <w:tcW w:w="2070" w:type="dxa"/>
            <w:gridSpan w:val="2"/>
            <w:tcBorders/>
          </w:tcPr>
          <w:p>
            <w:pPr>
              <w:pStyle w:val="Normal"/>
              <w:widowControl/>
              <w:spacing w:before="60" w:after="0"/>
              <w:jc w:val="both"/>
              <w:rPr>
                <w:sz w:val="20"/>
              </w:rPr>
            </w:pPr>
            <w:r>
              <w:rPr>
                <w:sz w:val="20"/>
              </w:rPr>
              <w:t xml:space="preserve">USD—NationsBank, </w:t>
            </w:r>
          </w:p>
          <w:p>
            <w:pPr>
              <w:pStyle w:val="Normal"/>
              <w:widowControl/>
              <w:spacing w:before="60" w:after="0"/>
              <w:jc w:val="both"/>
              <w:rPr>
                <w:sz w:val="20"/>
              </w:rPr>
            </w:pPr>
            <w:r>
              <w:rPr>
                <w:sz w:val="20"/>
              </w:rPr>
              <w:t>ABA 111-000-012</w:t>
            </w:r>
          </w:p>
          <w:p>
            <w:pPr>
              <w:pStyle w:val="Normal"/>
              <w:widowControl/>
              <w:spacing w:before="60" w:after="0"/>
              <w:ind w:end="-144"/>
              <w:jc w:val="both"/>
              <w:rPr>
                <w:sz w:val="20"/>
              </w:rPr>
            </w:pPr>
            <w:r>
              <w:rPr>
                <w:sz w:val="20"/>
              </w:rPr>
              <w:t>Acct.  3750494727</w:t>
            </w:r>
          </w:p>
        </w:tc>
        <w:tc>
          <w:tcPr>
            <w:tcW w:w="2826" w:type="dxa"/>
            <w:gridSpan w:val="2"/>
            <w:tcBorders/>
          </w:tcPr>
          <w:p>
            <w:pPr>
              <w:pStyle w:val="BodyTextIndent2"/>
              <w:widowControl/>
              <w:spacing w:before="60" w:after="0"/>
              <w:ind w:hanging="0" w:start="-72" w:end="0"/>
              <w:jc w:val="both"/>
              <w:rPr/>
            </w:pPr>
            <w:r>
              <w:rPr/>
              <w:t>GBP—Citibank, London</w:t>
            </w:r>
          </w:p>
          <w:p>
            <w:pPr>
              <w:pStyle w:val="Normal"/>
              <w:widowControl/>
              <w:spacing w:before="60" w:after="0"/>
              <w:ind w:start="-108" w:end="0"/>
              <w:jc w:val="both"/>
              <w:rPr>
                <w:sz w:val="20"/>
              </w:rPr>
            </w:pPr>
            <w:r>
              <w:rPr>
                <w:sz w:val="20"/>
              </w:rPr>
              <w:t>Sort Code:  18-50-08</w:t>
            </w:r>
          </w:p>
          <w:p>
            <w:pPr>
              <w:pStyle w:val="Normal"/>
              <w:widowControl/>
              <w:spacing w:before="60" w:after="0"/>
              <w:ind w:start="-108" w:end="0"/>
              <w:jc w:val="both"/>
              <w:rPr>
                <w:sz w:val="20"/>
              </w:rPr>
            </w:pPr>
            <w:r>
              <w:rPr>
                <w:sz w:val="20"/>
              </w:rPr>
              <w:t>Acct.  8143692</w:t>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napToGrid w:val="false"/>
              <w:spacing w:before="60" w:after="0"/>
              <w:ind w:start="720" w:end="0"/>
              <w:jc w:val="both"/>
              <w:rPr>
                <w:sz w:val="20"/>
              </w:rPr>
            </w:pPr>
            <w:r>
              <w:rPr>
                <w:sz w:val="20"/>
              </w:rPr>
            </w:r>
          </w:p>
        </w:tc>
        <w:tc>
          <w:tcPr>
            <w:tcW w:w="4896" w:type="dxa"/>
            <w:gridSpan w:val="4"/>
            <w:tcBorders/>
          </w:tcPr>
          <w:p>
            <w:pPr>
              <w:pStyle w:val="Normal"/>
              <w:widowControl/>
              <w:snapToGrid w:val="false"/>
              <w:spacing w:before="60" w:after="0"/>
              <w:jc w:val="both"/>
              <w:rPr>
                <w:sz w:val="20"/>
              </w:rPr>
            </w:pPr>
            <w:r>
              <w:rPr>
                <w:sz w:val="20"/>
              </w:rPr>
            </w:r>
          </w:p>
        </w:tc>
        <w:tc>
          <w:tcPr>
            <w:tcW w:w="144" w:type="dxa"/>
            <w:tcBorders/>
            <w:tcMar>
              <w:start w:w="0" w:type="dxa"/>
              <w:end w:w="0" w:type="dxa"/>
            </w:tcMar>
          </w:tcPr>
          <w:p>
            <w:pPr>
              <w:pStyle w:val="Normal"/>
              <w:snapToGrid w:val="false"/>
              <w:rPr>
                <w:sz w:val="20"/>
              </w:rPr>
            </w:pPr>
            <w:r>
              <w:rPr>
                <w:sz w:val="20"/>
              </w:rPr>
            </w:r>
          </w:p>
        </w:tc>
      </w:tr>
      <w:tr>
        <w:trPr/>
        <w:tc>
          <w:tcPr>
            <w:tcW w:w="4428" w:type="dxa"/>
            <w:gridSpan w:val="2"/>
            <w:tcBorders/>
          </w:tcPr>
          <w:p>
            <w:pPr>
              <w:pStyle w:val="Normal"/>
              <w:widowControl/>
              <w:spacing w:before="60" w:after="0"/>
              <w:ind w:start="720" w:end="0"/>
              <w:jc w:val="both"/>
              <w:rPr>
                <w:sz w:val="20"/>
              </w:rPr>
            </w:pPr>
            <w:r>
              <w:rPr>
                <w:sz w:val="20"/>
              </w:rPr>
              <w:t>Payments to Counterparty:</w:t>
            </w:r>
          </w:p>
        </w:tc>
        <w:tc>
          <w:tcPr>
            <w:tcW w:w="4896" w:type="dxa"/>
            <w:gridSpan w:val="4"/>
            <w:tcBorders/>
          </w:tcPr>
          <w:p>
            <w:pPr>
              <w:pStyle w:val="Normal"/>
              <w:widowControl/>
              <w:spacing w:before="60" w:after="0"/>
              <w:jc w:val="both"/>
              <w:rPr>
                <w:sz w:val="20"/>
              </w:rPr>
            </w:pPr>
            <w:r>
              <w:rPr>
                <w:sz w:val="20"/>
              </w:rPr>
              <w:t>Please advise</w:t>
            </w:r>
          </w:p>
        </w:tc>
        <w:tc>
          <w:tcPr>
            <w:tcW w:w="144" w:type="dxa"/>
            <w:tcBorders/>
            <w:tcMar>
              <w:start w:w="0" w:type="dxa"/>
              <w:end w:w="0" w:type="dxa"/>
            </w:tcMar>
          </w:tcPr>
          <w:p>
            <w:pPr>
              <w:pStyle w:val="Normal"/>
              <w:snapToGrid w:val="false"/>
              <w:rPr>
                <w:sz w:val="20"/>
              </w:rPr>
            </w:pPr>
            <w:r>
              <w:rPr>
                <w:sz w:val="20"/>
              </w:rPr>
            </w:r>
          </w:p>
        </w:tc>
      </w:tr>
      <w:tr>
        <w:trPr/>
        <w:tc>
          <w:tcPr>
            <w:tcW w:w="3528" w:type="dxa"/>
            <w:tcBorders/>
          </w:tcPr>
          <w:p>
            <w:pPr>
              <w:pStyle w:val="Normal"/>
              <w:widowControl/>
              <w:snapToGrid w:val="false"/>
              <w:rPr>
                <w:sz w:val="20"/>
              </w:rPr>
            </w:pPr>
            <w:r>
              <w:rPr>
                <w:sz w:val="20"/>
              </w:rPr>
            </w:r>
          </w:p>
        </w:tc>
        <w:tc>
          <w:tcPr>
            <w:tcW w:w="5310" w:type="dxa"/>
            <w:gridSpan w:val="4"/>
            <w:tcBorders/>
          </w:tcPr>
          <w:p>
            <w:pPr>
              <w:pStyle w:val="Normal"/>
              <w:widowControl/>
              <w:snapToGrid w:val="false"/>
              <w:spacing w:before="60" w:after="0"/>
              <w:jc w:val="both"/>
              <w:rPr>
                <w:sz w:val="20"/>
              </w:rPr>
            </w:pPr>
            <w:r>
              <w:rPr>
                <w:sz w:val="20"/>
              </w:rPr>
            </w:r>
          </w:p>
        </w:tc>
        <w:tc>
          <w:tcPr>
            <w:tcW w:w="630" w:type="dxa"/>
            <w:gridSpan w:val="2"/>
            <w:tcBorders/>
            <w:tcMar>
              <w:start w:w="0" w:type="dxa"/>
              <w:end w:w="0" w:type="dxa"/>
            </w:tcMar>
          </w:tcPr>
          <w:p>
            <w:pPr>
              <w:pStyle w:val="Normal"/>
              <w:snapToGrid w:val="false"/>
              <w:rPr>
                <w:sz w:val="20"/>
              </w:rPr>
            </w:pPr>
            <w:r>
              <w:rPr>
                <w:sz w:val="20"/>
              </w:rPr>
            </w:r>
          </w:p>
        </w:tc>
      </w:tr>
      <w:tr>
        <w:trPr/>
        <w:tc>
          <w:tcPr>
            <w:tcW w:w="4518" w:type="dxa"/>
            <w:gridSpan w:val="3"/>
            <w:tcBorders/>
          </w:tcPr>
          <w:p>
            <w:pPr>
              <w:pStyle w:val="Normal"/>
              <w:widowControl/>
              <w:spacing w:before="60" w:after="0"/>
              <w:jc w:val="both"/>
              <w:rPr>
                <w:sz w:val="20"/>
              </w:rPr>
            </w:pPr>
            <w:r>
              <w:rPr>
                <w:sz w:val="20"/>
              </w:rPr>
              <w:t>6. Governing Law</w:t>
            </w:r>
          </w:p>
        </w:tc>
        <w:tc>
          <w:tcPr>
            <w:tcW w:w="4950" w:type="dxa"/>
            <w:gridSpan w:val="4"/>
            <w:tcBorders/>
          </w:tcPr>
          <w:p>
            <w:pPr>
              <w:pStyle w:val="Normal"/>
              <w:widowControl/>
              <w:spacing w:before="60" w:after="0"/>
              <w:jc w:val="both"/>
              <w:rPr>
                <w:sz w:val="20"/>
              </w:rPr>
            </w:pPr>
            <w:r>
              <w:rPr>
                <w:sz w:val="20"/>
              </w:rPr>
              <w:t xml:space="preserve">New York Law, without reference to the choice of law doctrine </w:t>
            </w:r>
          </w:p>
        </w:tc>
      </w:tr>
    </w:tbl>
    <w:p>
      <w:pPr>
        <w:pStyle w:val="Normal"/>
        <w:widowControl/>
        <w:jc w:val="both"/>
        <w:rPr>
          <w:sz w:val="20"/>
        </w:rPr>
      </w:pPr>
      <w:r>
        <w:rPr>
          <w:sz w:val="20"/>
        </w:rPr>
      </w:r>
    </w:p>
    <w:p>
      <w:pPr>
        <w:pStyle w:val="Normal"/>
        <w:widowControl/>
        <w:jc w:val="both"/>
        <w:rPr>
          <w:sz w:val="20"/>
        </w:rPr>
      </w:pPr>
      <w:r>
        <w:rPr>
          <w:sz w:val="20"/>
        </w:rPr>
        <w:t>Party A identifies this Transaction as property being hedged for federal income tax purposes.  Party A identifies the hedging transaction (if any) for this Transaction using the aggregate risk method for federal income tax purposes.  For hedging transactions involving notional principal contracts, Party A uses the method of tax accounting set forth in Treasury Regulation section 1.446-3.</w:t>
      </w:r>
    </w:p>
    <w:p>
      <w:pPr>
        <w:pStyle w:val="Normal"/>
        <w:widowControl/>
        <w:rPr>
          <w:sz w:val="20"/>
        </w:rPr>
      </w:pPr>
      <w:r>
        <w:rPr>
          <w:sz w:val="20"/>
        </w:rPr>
      </w:r>
    </w:p>
    <w:p>
      <w:pPr>
        <w:pStyle w:val="Normal"/>
        <w:widowControl/>
        <w:jc w:val="both"/>
        <w:rPr>
          <w:sz w:val="20"/>
        </w:rPr>
      </w:pPr>
      <w:r>
        <w:rPr>
          <w:sz w:val="20"/>
        </w:rPr>
        <w:t>Party B identifies this Transaction as a hedging transaction for federal income tax purposes.  Party B hereby identifies the Amount and currency described in this Confirmation as the property being hedged.  If Party B is a domestic entity, it uses the method of tax accounting set forth in Treasury Regulation section 1.446-3 for hedging transactions involving notional principal contracts.</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Risk Management &amp; Trading Corp. is pleased to have entered into this Transaction with you.</w:t>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 xml:space="preserve">Risk Management &amp; Trading Corp. </w:t>
      </w:r>
    </w:p>
    <w:p>
      <w:pPr>
        <w:pStyle w:val="Normal"/>
        <w:widowControl/>
        <w:jc w:val="both"/>
        <w:rPr>
          <w:sz w:val="20"/>
        </w:rPr>
      </w:pPr>
      <w:r>
        <w:rPr>
          <w:sz w:val="20"/>
        </w:rPr>
        <w:tab/>
        <w:tab/>
        <w:tab/>
        <w:tab/>
        <w:tab/>
        <w:tab/>
      </w:r>
    </w:p>
    <w:p>
      <w:pPr>
        <w:pStyle w:val="Normal"/>
        <w:widowControl/>
        <w:jc w:val="both"/>
        <w:rPr>
          <w:sz w:val="20"/>
        </w:rPr>
      </w:pPr>
      <w:r>
        <w:rPr>
          <w:sz w:val="20"/>
        </w:rPr>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color w:val="FF0000"/>
          <w:sz w:val="20"/>
        </w:rPr>
      </w:pPr>
      <w:r>
        <w:rPr>
          <w:color w:val="FF0000"/>
          <w:sz w:val="20"/>
        </w:rPr>
        <w:t>Wilton Trust</w:t>
      </w:r>
    </w:p>
    <w:p>
      <w:pPr>
        <w:pStyle w:val="Normal"/>
        <w:widowControl/>
        <w:jc w:val="both"/>
        <w:rPr>
          <w:color w:val="FF0000"/>
          <w:sz w:val="20"/>
        </w:rPr>
      </w:pPr>
      <w:r>
        <w:rPr>
          <w:color w:val="FF0000"/>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p>
    <w:p>
      <w:pPr>
        <w:pStyle w:val="Normal"/>
        <w:spacing w:lineRule="exact" w:line="240"/>
        <w:rPr>
          <w:sz w:val="20"/>
        </w:rPr>
      </w:pPr>
      <w:r>
        <w:rPr>
          <w:sz w:val="20"/>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b/>
        <w:sz w:val="16"/>
      </w:rPr>
      <w:t>This Proposal is for discussion purposes only to facilitate the negotiation, preparation</w:t>
    </w:r>
    <w:r>
      <w:rPr>
        <w:sz w:val="16"/>
      </w:rPr>
      <w:t xml:space="preserve">, </w:t>
    </w:r>
    <w:r>
      <w:rPr>
        <w:b/>
        <w:sz w:val="16"/>
      </w:rPr>
      <w:t>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sz w:val="18"/>
      </w:rPr>
      <w:t xml:space="preserve">DRAFT—FOR DISCUSSION PURPOSES ONLY     </w:t>
    </w:r>
    <w:r>
      <w:rPr>
        <w:sz w:val="18"/>
      </w:rPr>
      <w:t>M164587</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22"/>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BodyText2">
    <w:name w:val="Body Text 2"/>
    <w:basedOn w:val="Normal"/>
    <w:qFormat/>
    <w:pPr>
      <w:widowControl/>
      <w:jc w:val="both"/>
    </w:pPr>
    <w:rPr>
      <w:sz w:val="22"/>
    </w:rPr>
  </w:style>
  <w:style w:type="paragraph" w:styleId="BodyText3">
    <w:name w:val="Body Text 3"/>
    <w:basedOn w:val="Normal"/>
    <w:qFormat/>
    <w:pPr>
      <w:jc w:val="both"/>
    </w:pPr>
    <w:rPr>
      <w:sz w:val="20"/>
    </w:rPr>
  </w:style>
  <w:style w:type="paragraph" w:styleId="BodyTextIndent2">
    <w:name w:val="Body Text Indent 2"/>
    <w:basedOn w:val="Normal"/>
    <w:qFormat/>
    <w:pPr>
      <w:widowControl/>
      <w:spacing w:before="60" w:after="0"/>
      <w:ind w:hanging="0" w:start="-72"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1999-07-16T15:43:00Z</dcterms:created>
  <dc:creator>ECT</dc:creator>
  <dc:description/>
  <dc:language>en-CA</dc:language>
  <cp:lastModifiedBy>laurel adams</cp:lastModifiedBy>
  <cp:lastPrinted>1999-05-11T16:42:00Z</cp:lastPrinted>
  <dcterms:modified xsi:type="dcterms:W3CDTF">1999-08-02T16:15:00Z</dcterms:modified>
  <cp:revision>6</cp:revision>
  <dc:subject/>
  <dc:title> 1400 Smith  Houston, TX 77002 (713) 853-3300 Fax (713) 646-4816</dc:title>
</cp:coreProperties>
</file>