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(Rough Draft 9/22/00)</w:t>
      </w:r>
    </w:p>
    <w:p>
      <w:pPr>
        <w:pStyle w:val="Heading"/>
        <w:rPr>
          <w:sz w:val="28"/>
        </w:rPr>
      </w:pPr>
      <w:r>
        <w:rPr>
          <w:sz w:val="28"/>
        </w:rPr>
        <w:t>Margaret M. Carson</w:t>
      </w:r>
    </w:p>
    <w:p>
      <w:pPr>
        <w:pStyle w:val="Heading"/>
        <w:rPr>
          <w:sz w:val="28"/>
        </w:rPr>
      </w:pPr>
      <w:r>
        <w:rPr>
          <w:sz w:val="28"/>
        </w:rPr>
      </w:r>
    </w:p>
    <w:p>
      <w:pPr>
        <w:pStyle w:val="Heading"/>
        <w:rPr>
          <w:sz w:val="28"/>
        </w:rPr>
      </w:pPr>
      <w:r>
        <w:rPr>
          <w:sz w:val="28"/>
        </w:rPr>
        <w:t>Action Plan for the U.S. Natural Gas Industry</w:t>
      </w:r>
    </w:p>
    <w:p>
      <w:pPr>
        <w:pStyle w:val="Normal"/>
        <w:spacing w:lineRule="auto" w:line="480"/>
        <w:jc w:val="center"/>
        <w:rPr>
          <w:b/>
          <w:bCs/>
          <w:sz w:val="28"/>
        </w:rPr>
      </w:pPr>
      <w:r>
        <w:rPr>
          <w:b/>
          <w:bCs/>
          <w:sz w:val="28"/>
        </w:rPr>
      </w:r>
    </w:p>
    <w:p>
      <w:pPr>
        <w:pStyle w:val="Normal"/>
        <w:spacing w:lineRule="auto" w:line="480"/>
        <w:ind w:firstLine="720" w:end="0"/>
        <w:rPr/>
      </w:pPr>
      <w:r>
        <w:rPr/>
        <w:t>Demand pressure has intensified for natural gas since 1997, while the gas supply response in the U.S. and Canada has been slow in coming.  The upward thrust of gas price pressure in 2000 results from a combination of circumstances.  These include a doubling of world oil prices to $34.50 a barrel, a 250 Bcf decline in U.S. gas production since 1997, limited Canadian gas export growth and a 15% decrease in 2000 in the rate of gas storage fill.  These factors when weighed against a 380 Bcf increase in gas demand spurred by strong growth in gas for power generation and robust U.S. GDP growth of 4.1% have resulted in intense competition for supplies and an 80% increase in natural gas wellhead prices this year versus 1999.</w:t>
      </w:r>
      <w:r>
        <w:rPr>
          <w:rStyle w:val="FootnoteCharacters"/>
          <w:rStyle w:val="FootnoteReference"/>
        </w:rPr>
        <w:footnoteReference w:id="2"/>
      </w:r>
    </w:p>
    <w:p>
      <w:pPr>
        <w:pStyle w:val="Normal"/>
        <w:spacing w:lineRule="auto" w:line="480"/>
        <w:ind w:firstLine="720" w:end="0"/>
        <w:rPr/>
      </w:pPr>
      <w:r>
        <w:rPr/>
      </w:r>
    </w:p>
    <w:p>
      <w:pPr>
        <w:pStyle w:val="Normal"/>
        <w:spacing w:lineRule="auto" w:line="480"/>
        <w:ind w:firstLine="720" w:end="0"/>
        <w:rPr/>
      </w:pPr>
      <w:r>
        <w:rPr/>
        <w:t>As a result, the U.S. natural gas industry is facing two huge problems head on as we enter the winter season of 2000:</w:t>
      </w:r>
    </w:p>
    <w:p>
      <w:pPr>
        <w:pStyle w:val="Normal"/>
        <w:tabs>
          <w:tab w:val="left" w:pos="720" w:leader="none"/>
          <w:tab w:val="left" w:pos="1200" w:leader="none"/>
        </w:tabs>
        <w:spacing w:lineRule="auto" w:line="480"/>
        <w:rPr/>
      </w:pPr>
      <w:r>
        <w:rPr/>
        <w:tab/>
      </w:r>
      <w:r>
        <w:rPr>
          <w:rFonts w:eastAsia="Symbol" w:cs="Symbol" w:ascii="Symbol" w:hAnsi="Symbol"/>
        </w:rPr>
        <w:sym w:font="Symbol" w:char="f0b7"/>
      </w:r>
      <w:r>
        <w:rPr/>
        <w:tab/>
        <w:t xml:space="preserve">How to keep gas prices competitive </w:t>
      </w:r>
    </w:p>
    <w:p>
      <w:pPr>
        <w:pStyle w:val="Normal"/>
        <w:tabs>
          <w:tab w:val="left" w:pos="720" w:leader="none"/>
          <w:tab w:val="left" w:pos="1200" w:leader="none"/>
        </w:tabs>
        <w:spacing w:lineRule="auto" w:line="480"/>
        <w:rPr/>
      </w:pPr>
      <w:r>
        <w:rPr/>
        <w:tab/>
      </w:r>
      <w:r>
        <w:rPr>
          <w:rFonts w:eastAsia="Symbol" w:cs="Symbol" w:ascii="Symbol" w:hAnsi="Symbol"/>
        </w:rPr>
        <w:sym w:font="Symbol" w:char="f0b7"/>
      </w:r>
      <w:r>
        <w:rPr/>
        <w:tab/>
        <w:t xml:space="preserve">Timing of supply and market access to meet gas market demand growth </w:t>
      </w:r>
    </w:p>
    <w:p>
      <w:pPr>
        <w:pStyle w:val="Normal"/>
        <w:tabs>
          <w:tab w:val="left" w:pos="720" w:leader="none"/>
          <w:tab w:val="left" w:pos="1200" w:leader="none"/>
        </w:tabs>
        <w:rPr/>
      </w:pPr>
      <w:r>
        <w:rPr/>
        <w:tab/>
      </w:r>
    </w:p>
    <w:p>
      <w:pPr>
        <w:pStyle w:val="Normal"/>
        <w:tabs>
          <w:tab w:val="left" w:pos="720" w:leader="none"/>
          <w:tab w:val="left" w:pos="1200" w:leader="none"/>
        </w:tabs>
        <w:rPr/>
      </w:pPr>
      <w:r>
        <w:rPr/>
      </w:r>
    </w:p>
    <w:p>
      <w:pPr>
        <w:pStyle w:val="Normal"/>
        <w:tabs>
          <w:tab w:val="left" w:pos="720" w:leader="none"/>
          <w:tab w:val="left" w:pos="1200" w:leader="none"/>
        </w:tabs>
        <w:spacing w:lineRule="auto" w:line="360"/>
        <w:rPr/>
      </w:pPr>
      <w:r>
        <w:rPr/>
        <w:tab/>
        <w:t>In today’s economy, our nation’s growth is sustained by reliable electric power and fuels.  Going forward, our electricity reliability depends on more gas supply to fuel new power plants, and gas is the growth engine for new merchant power plants.</w:t>
      </w:r>
    </w:p>
    <w:p>
      <w:pPr>
        <w:pStyle w:val="Normal"/>
        <w:tabs>
          <w:tab w:val="left" w:pos="720" w:leader="none"/>
          <w:tab w:val="left" w:pos="3360" w:leader="none"/>
        </w:tabs>
        <w:spacing w:lineRule="auto" w:line="480"/>
        <w:rPr/>
      </w:pPr>
      <w:r>
        <w:rPr/>
        <w:tab/>
        <w:t xml:space="preserve">Will natural gas prices this winter go through the roof causing hardship for homeowners </w:t>
      </w:r>
    </w:p>
    <w:p>
      <w:pPr>
        <w:pStyle w:val="Normal"/>
        <w:tabs>
          <w:tab w:val="left" w:pos="720" w:leader="none"/>
          <w:tab w:val="left" w:pos="3360" w:leader="none"/>
        </w:tabs>
        <w:spacing w:lineRule="auto" w:line="480"/>
        <w:rPr/>
      </w:pPr>
      <w:r>
        <w:rPr/>
        <w:t>and schools with 33% or higher gas heating bills?  Will higher prices curb industrial and commercial growth due to slack deliveries to plants, power generators, offices and commercial buildings?</w:t>
      </w:r>
    </w:p>
    <w:p>
      <w:pPr>
        <w:pStyle w:val="BodyTextIndent"/>
        <w:ind w:start="0" w:end="0"/>
        <w:rPr/>
      </w:pPr>
      <w:r>
        <w:rPr/>
      </w:r>
    </w:p>
    <w:p>
      <w:pPr>
        <w:pStyle w:val="BodyTextIndent"/>
        <w:tabs>
          <w:tab w:val="clear" w:pos="1200"/>
          <w:tab w:val="left" w:pos="720" w:leader="none"/>
        </w:tabs>
        <w:ind w:start="0" w:end="0"/>
        <w:rPr/>
      </w:pPr>
      <w:r>
        <w:rPr/>
        <w:tab/>
        <w:t>Will short-term gas supplies be adequate to serve the market this winter given the existing constraints?  Heading into winter 2000, the U.S. gas industry is at a crunch point.  Domestic gas production plateaued at 18.7 Tcf in 1998.  This year’s U.S. gas production is down 250 Bcf versus 1997 levels.  In Canada, U.S. second largest source of gas supplies, exports rose by about only 56 Bcf this year after a steady pace of 210 Bcf a year growth in exports since 1991.  Solutions must be developed now to resolve the short-term supply crunch and gear up supplies to achieve a 30 Tcf market by 2015.</w:t>
      </w:r>
    </w:p>
    <w:p>
      <w:pPr>
        <w:pStyle w:val="BodyTextIndent"/>
        <w:tabs>
          <w:tab w:val="clear" w:pos="1200"/>
          <w:tab w:val="left" w:pos="720" w:leader="none"/>
        </w:tabs>
        <w:ind w:start="0" w:end="0"/>
        <w:rPr/>
      </w:pPr>
      <w:r>
        <w:rPr/>
      </w:r>
    </w:p>
    <w:p>
      <w:pPr>
        <w:pStyle w:val="BodyTextIndent"/>
        <w:tabs>
          <w:tab w:val="clear" w:pos="1200"/>
          <w:tab w:val="left" w:pos="720" w:leader="none"/>
        </w:tabs>
        <w:ind w:start="0" w:end="0"/>
        <w:rPr/>
      </w:pPr>
      <w:r>
        <w:rPr/>
        <w:tab/>
        <w:t>Will natural gas delivery infrastructure keep pace with regional demand growth?  Much of the existing gas pipeline grid was built in the 1930s and 1940s when U.S. gas demand was as low as 5.0 Tcf.  It expanded by the mid-1980s to 18.0 Tcf when major markets were concentrated in the East, California, Louisiana, Texas and the Midwest.  Regional gas demand growth patterns, however, have added new markets in New England and in the Southeast in the 1990s, coupled with growth in gas-fired power generation demand scattered across the country:  in California, Florida, Illinois, Michigan, New York, Tennessee and Texas.  Today’s gas market is 21.7 Tcf, and it is forecast by the U.S. Department of Energy to grow to 30 Tcf by 2015. Gas use in power generation is expected to lead this growth.</w:t>
      </w:r>
    </w:p>
    <w:p>
      <w:pPr>
        <w:pStyle w:val="BodyTextIndent"/>
        <w:tabs>
          <w:tab w:val="clear" w:pos="1200"/>
          <w:tab w:val="left" w:pos="720" w:leader="none"/>
        </w:tabs>
        <w:ind w:start="0" w:end="0"/>
        <w:rPr/>
      </w:pPr>
      <w:r>
        <w:rPr/>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Solutions Available at the State Level:</w:t>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ab/>
      </w:r>
      <w:r>
        <w:rPr>
          <w:u w:val="single"/>
        </w:rPr>
        <w:t>Price Competitiveness</w:t>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ab/>
      </w:r>
      <w:r>
        <w:rPr>
          <w:rFonts w:eastAsia="Symbol" w:cs="Symbol" w:ascii="Symbol" w:hAnsi="Symbol"/>
        </w:rPr>
        <w:sym w:font="Symbol" w:char="f0b7"/>
      </w:r>
      <w:r>
        <w:rPr/>
        <w:tab/>
        <w:t>Allow LDC hedging to cap gas cost hikes</w:t>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ab/>
      </w:r>
      <w:r>
        <w:rPr>
          <w:rFonts w:eastAsia="Symbol" w:cs="Symbol" w:ascii="Symbol" w:hAnsi="Symbol"/>
        </w:rPr>
        <w:sym w:font="Symbol" w:char="f0b7"/>
      </w:r>
      <w:r>
        <w:rPr/>
        <w:tab/>
        <w:t xml:space="preserve">Permit and encourage LDC use of weather risk management products </w:t>
      </w:r>
    </w:p>
    <w:p>
      <w:pPr>
        <w:pStyle w:val="Footer"/>
        <w:tabs>
          <w:tab w:val="clear" w:pos="4320"/>
          <w:tab w:val="clear" w:pos="8640"/>
          <w:tab w:val="left" w:pos="720" w:leader="none"/>
          <w:tab w:val="left" w:pos="1320" w:leader="none"/>
          <w:tab w:val="right" w:pos="2160" w:leader="none"/>
          <w:tab w:val="left" w:pos="3360" w:leader="none"/>
        </w:tabs>
        <w:spacing w:lineRule="auto" w:line="480"/>
        <w:rPr/>
      </w:pPr>
      <w:r>
        <w:rPr/>
        <w:tab/>
      </w:r>
      <w:r>
        <w:rPr>
          <w:rFonts w:eastAsia="Symbol" w:cs="Symbol" w:ascii="Symbol" w:hAnsi="Symbol"/>
        </w:rPr>
        <w:sym w:font="Symbol" w:char="f0b7"/>
      </w:r>
      <w:r>
        <w:rPr/>
        <w:tab/>
        <w:t>Encourage LDC use of new storage services</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ab/>
        <w:t>Encourage LDCs to obtain prudent fixed-price contracts as part of their                      supply portfolio</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numPr>
          <w:ilvl w:val="0"/>
          <w:numId w:val="2"/>
        </w:numPr>
        <w:tabs>
          <w:tab w:val="clear" w:pos="4320"/>
          <w:tab w:val="clear" w:pos="8640"/>
          <w:tab w:val="left" w:pos="720" w:leader="none"/>
          <w:tab w:val="left" w:pos="1320" w:leader="none"/>
          <w:tab w:val="right" w:pos="2160" w:leader="none"/>
          <w:tab w:val="left" w:pos="3360" w:leader="none"/>
        </w:tabs>
        <w:rPr/>
      </w:pPr>
      <w:r>
        <w:rPr/>
        <w:t>Encourage a level playing field for non-utility retail gas providers</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u w:val="single"/>
        </w:rPr>
        <w:t xml:space="preserve">Supply Adequacy and Market Access </w:t>
      </w:r>
    </w:p>
    <w:p>
      <w:pPr>
        <w:pStyle w:val="Footer"/>
        <w:tabs>
          <w:tab w:val="clear" w:pos="4320"/>
          <w:tab w:val="clear" w:pos="8640"/>
          <w:tab w:val="left" w:pos="720" w:leader="none"/>
          <w:tab w:val="left" w:pos="1320" w:leader="none"/>
          <w:tab w:val="right" w:pos="2160" w:leader="none"/>
          <w:tab w:val="left" w:pos="3360" w:leader="none"/>
        </w:tabs>
        <w:ind w:hanging="1320" w:start="1320" w:end="0"/>
        <w:rPr>
          <w:u w:val="single"/>
        </w:rPr>
      </w:pPr>
      <w:r>
        <w:rPr>
          <w:u w:val="single"/>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ab/>
        <w:t xml:space="preserve">New supply timing and access to gas prospects especially in areas equipped with mature takeaway pipelines </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Expedite new pipeline timing on rights of way</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Monitor gas storage fill adequacy and assess risk of low stocks</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Plan BTU swaps with industrials that can use alternate fuels to free up LDC gas at the peak</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 xml:space="preserve">Ease flow limits on well production </w:t>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p>
    <w:p>
      <w:pPr>
        <w:pStyle w:val="Footer"/>
        <w:tabs>
          <w:tab w:val="clear" w:pos="4320"/>
          <w:tab w:val="clear" w:pos="8640"/>
          <w:tab w:val="left" w:pos="720" w:leader="none"/>
          <w:tab w:val="left" w:pos="1320" w:leader="none"/>
          <w:tab w:val="right" w:pos="2160" w:leader="none"/>
          <w:tab w:val="left" w:pos="3360" w:leader="none"/>
        </w:tabs>
        <w:ind w:hanging="1320" w:start="1320" w:end="0"/>
        <w:rPr/>
      </w:pPr>
      <w:r>
        <w:rPr/>
        <w:tab/>
      </w:r>
      <w:r>
        <w:rPr>
          <w:rFonts w:eastAsia="Symbol" w:cs="Symbol" w:ascii="Symbol" w:hAnsi="Symbol"/>
        </w:rPr>
        <w:sym w:font="Symbol" w:char="f0b7"/>
      </w:r>
      <w:r>
        <w:rPr/>
        <w:tab/>
        <w:tab/>
        <w:t xml:space="preserve">State support of more LDC transport services at off-peak times for storage fill </w:t>
        <w:tab/>
        <w:tab/>
        <w:t>and large volume shipper supplies</w:t>
      </w:r>
    </w:p>
    <w:p>
      <w:pPr>
        <w:pStyle w:val="Normal"/>
        <w:tabs>
          <w:tab w:val="left" w:pos="720" w:leader="none"/>
          <w:tab w:val="left" w:pos="1320" w:leader="none"/>
          <w:tab w:val="left" w:pos="1800" w:leader="none"/>
          <w:tab w:val="right" w:pos="2160" w:leader="none"/>
          <w:tab w:val="left" w:pos="3360" w:leader="none"/>
        </w:tabs>
        <w:spacing w:lineRule="auto" w:line="480"/>
        <w:ind w:hanging="1320" w:start="1320" w:end="0"/>
        <w:rPr/>
      </w:pPr>
      <w:r>
        <w:rPr/>
      </w:r>
    </w:p>
    <w:p>
      <w:pPr>
        <w:pStyle w:val="Normal"/>
        <w:tabs>
          <w:tab w:val="left" w:pos="720" w:leader="none"/>
          <w:tab w:val="left" w:pos="1320" w:leader="none"/>
          <w:tab w:val="left" w:pos="1800" w:leader="none"/>
          <w:tab w:val="right" w:pos="2160" w:leader="none"/>
          <w:tab w:val="left" w:pos="3360" w:leader="none"/>
        </w:tabs>
        <w:spacing w:lineRule="auto" w:line="480"/>
        <w:ind w:hanging="1320" w:start="1320" w:end="0"/>
        <w:rPr/>
      </w:pPr>
      <w:r>
        <w:rPr/>
        <w:t>Solutions Available at the FERC/Federal Level:</w:t>
      </w:r>
    </w:p>
    <w:p>
      <w:pPr>
        <w:pStyle w:val="Footer"/>
        <w:tabs>
          <w:tab w:val="clear" w:pos="4320"/>
          <w:tab w:val="clear" w:pos="8640"/>
          <w:tab w:val="left" w:pos="720" w:leader="none"/>
          <w:tab w:val="left" w:pos="1200" w:leader="none"/>
          <w:tab w:val="left" w:pos="1800" w:leader="none"/>
          <w:tab w:val="right" w:pos="2160" w:leader="none"/>
          <w:tab w:val="left" w:pos="3360" w:leader="none"/>
          <w:tab w:val="right" w:pos="6480" w:leader="none"/>
        </w:tabs>
        <w:spacing w:lineRule="auto" w:line="480"/>
        <w:rPr/>
      </w:pPr>
      <w:r>
        <w:rPr/>
        <w:tab/>
      </w:r>
      <w:r>
        <w:rPr>
          <w:u w:val="single"/>
        </w:rPr>
        <w:t>Price Competitiveness</w:t>
      </w:r>
    </w:p>
    <w:p>
      <w:pPr>
        <w:pStyle w:val="Normal"/>
        <w:tabs>
          <w:tab w:val="right" w:pos="720" w:leader="none"/>
          <w:tab w:val="left" w:pos="1200" w:leader="none"/>
          <w:tab w:val="left" w:pos="1800" w:leader="none"/>
          <w:tab w:val="left" w:pos="3360" w:leader="none"/>
        </w:tabs>
        <w:rPr/>
      </w:pPr>
      <w:r>
        <w:rPr/>
        <w:tab/>
      </w:r>
      <w:r>
        <w:rPr>
          <w:rFonts w:eastAsia="Symbol" w:cs="Symbol" w:ascii="Symbol" w:hAnsi="Symbol"/>
        </w:rPr>
        <w:sym w:font="Symbol" w:char="f0b7"/>
      </w:r>
      <w:r>
        <w:rPr/>
        <w:tab/>
        <w:t>Faster turnaround in new pipeline tariff reviews and approvals</w:t>
      </w:r>
    </w:p>
    <w:p>
      <w:pPr>
        <w:pStyle w:val="Normal"/>
        <w:tabs>
          <w:tab w:val="right" w:pos="720" w:leader="none"/>
          <w:tab w:val="left" w:pos="1200" w:leader="none"/>
          <w:tab w:val="left" w:pos="1800" w:leader="none"/>
          <w:tab w:val="left" w:pos="3360" w:leader="none"/>
        </w:tabs>
        <w:rPr/>
      </w:pPr>
      <w:r>
        <w:rPr/>
      </w:r>
    </w:p>
    <w:p>
      <w:pPr>
        <w:pStyle w:val="Normal"/>
        <w:tabs>
          <w:tab w:val="right" w:pos="720" w:leader="none"/>
          <w:tab w:val="left" w:pos="1200" w:leader="none"/>
          <w:tab w:val="left" w:pos="1800" w:leader="none"/>
          <w:tab w:val="left" w:pos="3360" w:leader="none"/>
        </w:tabs>
        <w:rPr/>
      </w:pPr>
      <w:r>
        <w:rPr/>
        <w:tab/>
      </w:r>
      <w:r>
        <w:rPr>
          <w:rFonts w:eastAsia="Symbol" w:cs="Symbol" w:ascii="Symbol" w:hAnsi="Symbol"/>
        </w:rPr>
        <w:sym w:font="Symbol" w:char="f0b7"/>
      </w:r>
      <w:r>
        <w:rPr/>
        <w:tab/>
        <w:t>Support non-utility siting of distributed generation</w:t>
      </w:r>
    </w:p>
    <w:p>
      <w:pPr>
        <w:pStyle w:val="Normal"/>
        <w:tabs>
          <w:tab w:val="right" w:pos="720" w:leader="none"/>
          <w:tab w:val="left" w:pos="1200" w:leader="none"/>
          <w:tab w:val="left" w:pos="1800" w:leader="none"/>
          <w:tab w:val="left" w:pos="3360" w:leader="none"/>
        </w:tabs>
        <w:rPr/>
      </w:pPr>
      <w:r>
        <w:rPr/>
      </w:r>
    </w:p>
    <w:p>
      <w:pPr>
        <w:pStyle w:val="Normal"/>
        <w:tabs>
          <w:tab w:val="right" w:pos="720" w:leader="none"/>
          <w:tab w:val="left" w:pos="1200" w:leader="none"/>
          <w:tab w:val="left" w:pos="1800" w:leader="none"/>
          <w:tab w:val="left" w:pos="3360" w:leader="none"/>
        </w:tabs>
        <w:rPr/>
      </w:pPr>
      <w:r>
        <w:rPr/>
        <w:tab/>
      </w:r>
      <w:r>
        <w:rPr>
          <w:rFonts w:eastAsia="Symbol" w:cs="Symbol" w:ascii="Symbol" w:hAnsi="Symbol"/>
        </w:rPr>
        <w:sym w:font="Symbol" w:char="f0b7"/>
      </w:r>
      <w:r>
        <w:rPr/>
        <w:tab/>
        <w:t>Support E&amp;P research for efficiency improvements and advances in technology</w:t>
      </w:r>
    </w:p>
    <w:p>
      <w:pPr>
        <w:pStyle w:val="Normal"/>
        <w:tabs>
          <w:tab w:val="right" w:pos="720" w:leader="none"/>
          <w:tab w:val="left" w:pos="1200" w:leader="none"/>
          <w:tab w:val="left" w:pos="1800" w:leader="none"/>
          <w:tab w:val="left" w:pos="3360" w:leader="none"/>
        </w:tabs>
        <w:rPr/>
      </w:pPr>
      <w:r>
        <w:rPr/>
      </w:r>
    </w:p>
    <w:p>
      <w:pPr>
        <w:pStyle w:val="Normal"/>
        <w:tabs>
          <w:tab w:val="right" w:pos="720" w:leader="none"/>
          <w:tab w:val="left" w:pos="1200" w:leader="none"/>
          <w:tab w:val="left" w:pos="1800" w:leader="none"/>
          <w:tab w:val="left" w:pos="3360" w:leader="none"/>
        </w:tabs>
        <w:rPr/>
      </w:pPr>
      <w:r>
        <w:rPr/>
        <w:tab/>
      </w:r>
      <w:r>
        <w:rPr>
          <w:rFonts w:eastAsia="Symbol" w:cs="Symbol" w:ascii="Symbol" w:hAnsi="Symbol"/>
        </w:rPr>
        <w:sym w:font="Symbol" w:char="f0b7"/>
      </w:r>
      <w:r>
        <w:rPr/>
        <w:tab/>
        <w:t>Encourage continued growth in gas exports from Canada and Mexico</w:t>
      </w:r>
      <w:r>
        <w:br w:type="page"/>
      </w:r>
    </w:p>
    <w:p>
      <w:pPr>
        <w:pStyle w:val="Normal"/>
        <w:tabs>
          <w:tab w:val="left" w:pos="720" w:leader="none"/>
          <w:tab w:val="left" w:pos="1200" w:leader="none"/>
          <w:tab w:val="left" w:pos="1800" w:leader="none"/>
          <w:tab w:val="right" w:pos="2160" w:leader="none"/>
          <w:tab w:val="left" w:pos="3360" w:leader="none"/>
          <w:tab w:val="right" w:pos="6480" w:leader="none"/>
        </w:tabs>
        <w:spacing w:lineRule="auto" w:line="480"/>
        <w:rPr/>
      </w:pPr>
      <w:r>
        <w:rPr/>
        <w:tab/>
      </w:r>
      <w:r>
        <w:rPr>
          <w:u w:val="single"/>
        </w:rPr>
        <w:t>Supply Adequacy and Market Access</w:t>
      </w:r>
    </w:p>
    <w:p>
      <w:pPr>
        <w:pStyle w:val="Normal"/>
        <w:tabs>
          <w:tab w:val="left" w:pos="720" w:leader="none"/>
          <w:tab w:val="left" w:pos="1200" w:leader="none"/>
          <w:tab w:val="left" w:pos="1800" w:leader="none"/>
          <w:tab w:val="right" w:pos="2160" w:leader="none"/>
          <w:tab w:val="left" w:pos="3360" w:leader="none"/>
          <w:tab w:val="right" w:pos="6480" w:leader="none"/>
        </w:tabs>
        <w:spacing w:lineRule="auto" w:line="480"/>
        <w:rPr/>
      </w:pPr>
      <w:r>
        <w:rPr/>
        <w:tab/>
      </w:r>
      <w:r>
        <w:rPr>
          <w:rFonts w:eastAsia="Symbol" w:cs="Symbol" w:ascii="Symbol" w:hAnsi="Symbol"/>
        </w:rPr>
        <w:sym w:font="Symbol" w:char="f0b7"/>
      </w:r>
      <w:r>
        <w:rPr/>
        <w:tab/>
        <w:t>Expedite approval of merchant plant grid connections to gas and power lines</w:t>
      </w:r>
    </w:p>
    <w:p>
      <w:pPr>
        <w:pStyle w:val="Normal"/>
        <w:tabs>
          <w:tab w:val="left" w:pos="720" w:leader="none"/>
          <w:tab w:val="left" w:pos="1200" w:leader="none"/>
          <w:tab w:val="left" w:pos="1800" w:leader="none"/>
          <w:tab w:val="right" w:pos="2160" w:leader="none"/>
          <w:tab w:val="left" w:pos="3360" w:leader="none"/>
          <w:tab w:val="right" w:pos="6480" w:leader="none"/>
        </w:tabs>
        <w:rPr/>
      </w:pPr>
      <w:r>
        <w:rPr/>
        <w:tab/>
      </w:r>
      <w:r>
        <w:rPr>
          <w:rFonts w:eastAsia="Symbol" w:cs="Symbol" w:ascii="Symbol" w:hAnsi="Symbol"/>
        </w:rPr>
        <w:sym w:font="Symbol" w:char="f0b7"/>
      </w:r>
      <w:r>
        <w:rPr/>
        <w:tab/>
        <w:t xml:space="preserve">Allow more access to gas prospects on federal lands, especially in areas in the West </w:t>
      </w:r>
    </w:p>
    <w:p>
      <w:pPr>
        <w:pStyle w:val="Normal"/>
        <w:tabs>
          <w:tab w:val="left" w:pos="720" w:leader="none"/>
          <w:tab w:val="left" w:pos="1200" w:leader="none"/>
          <w:tab w:val="left" w:pos="1800" w:leader="none"/>
          <w:tab w:val="right" w:pos="2160" w:leader="none"/>
          <w:tab w:val="left" w:pos="3360" w:leader="none"/>
          <w:tab w:val="right" w:pos="6480" w:leader="none"/>
        </w:tabs>
        <w:spacing w:lineRule="auto" w:line="480"/>
        <w:rPr/>
      </w:pPr>
      <w:r>
        <w:rPr/>
        <w:tab/>
        <w:tab/>
        <w:t>and offshore equipped with mature takeaway pipelines</w:t>
      </w:r>
    </w:p>
    <w:p>
      <w:pPr>
        <w:pStyle w:val="Footer"/>
        <w:tabs>
          <w:tab w:val="clear" w:pos="4320"/>
          <w:tab w:val="clear" w:pos="8640"/>
          <w:tab w:val="left" w:pos="720" w:leader="none"/>
          <w:tab w:val="left" w:pos="1200" w:leader="none"/>
          <w:tab w:val="left" w:pos="1800" w:leader="none"/>
          <w:tab w:val="right" w:pos="2160" w:leader="none"/>
          <w:tab w:val="left" w:pos="3360" w:leader="none"/>
          <w:tab w:val="right" w:pos="6480" w:leader="none"/>
        </w:tabs>
        <w:rPr/>
      </w:pPr>
      <w:r>
        <w:rPr/>
        <w:tab/>
      </w:r>
      <w:r>
        <w:rPr>
          <w:rFonts w:eastAsia="Symbol" w:cs="Symbol" w:ascii="Symbol" w:hAnsi="Symbol"/>
        </w:rPr>
        <w:sym w:font="Symbol" w:char="f0b7"/>
      </w:r>
      <w:r>
        <w:rPr/>
        <w:tab/>
        <w:t xml:space="preserve">Encourage one-stop shopping and electronic filing/approvals for land use and </w:t>
      </w:r>
    </w:p>
    <w:p>
      <w:pPr>
        <w:pStyle w:val="Normal"/>
        <w:tabs>
          <w:tab w:val="right" w:pos="720" w:leader="none"/>
          <w:tab w:val="left" w:pos="1200" w:leader="none"/>
          <w:tab w:val="left" w:pos="1800" w:leader="none"/>
          <w:tab w:val="left" w:pos="3360" w:leader="none"/>
        </w:tabs>
        <w:rPr/>
      </w:pPr>
      <w:r>
        <w:rPr/>
        <w:tab/>
        <w:tab/>
        <w:t>environmental permits</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U.S. Department of Commerce, Bureau of Economic Analysis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52"/>
        </w:tabs>
        <w:ind w:start="1152" w:hanging="432"/>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1920" w:leader="none"/>
      </w:tabs>
      <w:spacing w:lineRule="auto" w:line="480"/>
      <w:outlineLvl w:val="0"/>
    </w:pPr>
    <w:rPr>
      <w:b/>
      <w:bCs/>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right" w:pos="720" w:leader="none"/>
        <w:tab w:val="left" w:pos="1200" w:leader="none"/>
      </w:tabs>
      <w:spacing w:lineRule="auto" w:line="480"/>
      <w:ind w:hanging="0" w:start="1200" w:end="0"/>
    </w:pPr>
    <w:rPr/>
  </w:style>
  <w:style w:type="paragraph" w:styleId="BodyTextIndent2">
    <w:name w:val="Body Text Indent 2"/>
    <w:basedOn w:val="Normal"/>
    <w:qFormat/>
    <w:pPr>
      <w:tabs>
        <w:tab w:val="right" w:pos="480" w:leader="none"/>
        <w:tab w:val="left" w:pos="720" w:leader="none"/>
        <w:tab w:val="left" w:pos="1320" w:leader="none"/>
        <w:tab w:val="left" w:pos="2160" w:leader="none"/>
        <w:tab w:val="left" w:pos="3360" w:leader="none"/>
      </w:tabs>
      <w:spacing w:lineRule="auto" w:line="480"/>
      <w:ind w:hanging="0" w:start="1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2000-09-21T11:30:00Z</dcterms:created>
  <dc:creator>jstrans</dc:creator>
  <dc:description/>
  <dc:language>en-CA</dc:language>
  <cp:lastModifiedBy>jstrans</cp:lastModifiedBy>
  <cp:lastPrinted>2000-09-22T16:53:00Z</cp:lastPrinted>
  <dcterms:modified xsi:type="dcterms:W3CDTF">2000-09-22T19:36:00Z</dcterms:modified>
  <cp:revision>9</cp:revision>
  <dc:subject/>
  <dc:title>Action Plan for U</dc:title>
</cp:coreProperties>
</file>