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lang w:val="en-CA" w:eastAsia="en-CA"/>
        </w:rPr>
      </w:pPr>
      <w:r>
        <w:rPr>
          <w:sz w:val="2"/>
          <w:lang w:val="en-CA" w:eastAsia="en-CA"/>
        </w:rPr>
      </w:r>
      <w:bookmarkStart w:id="0" w:name="Letterhead"/>
      <w:bookmarkStart w:id="1" w:name="Letterhead"/>
      <w:bookmarkEnd w:id="1"/>
      <w:r>
        <mc:AlternateContent>
          <mc:Choice Requires="wps">
            <w:drawing>
              <wp:anchor behindDoc="0" distT="0" distB="0" distL="114935" distR="114935" simplePos="0" locked="0" layoutInCell="0" allowOverlap="1" relativeHeight="3">
                <wp:simplePos x="0" y="0"/>
                <wp:positionH relativeFrom="page">
                  <wp:posOffset>237490</wp:posOffset>
                </wp:positionH>
                <wp:positionV relativeFrom="page">
                  <wp:posOffset>381000</wp:posOffset>
                </wp:positionV>
                <wp:extent cx="7361555" cy="1649095"/>
                <wp:effectExtent l="0" t="0" r="0" b="0"/>
                <wp:wrapTopAndBottom/>
                <wp:docPr id="1" name="Frame1"/>
                <a:graphic xmlns:a="http://schemas.openxmlformats.org/drawingml/2006/main">
                  <a:graphicData uri="http://schemas.microsoft.com/office/word/2010/wordprocessingShape">
                    <wps:wsp>
                      <wps:cNvSpPr txBox="1"/>
                      <wps:spPr>
                        <a:xfrm>
                          <a:off x="0" y="0"/>
                          <a:ext cx="7361555" cy="1649095"/>
                        </a:xfrm>
                        <a:prstGeom prst="rect"/>
                        <a:solidFill>
                          <a:srgbClr val="FFFFFF"/>
                        </a:solidFill>
                      </wps:spPr>
                      <wps:txbx>
                        <w:txbxContent>
                          <w:p>
                            <w:pPr>
                              <w:pStyle w:val="Normal"/>
                              <w:rPr>
                                <w:vanish/>
                                <w:lang w:val="en-CA" w:eastAsia="en-CA"/>
                              </w:rPr>
                            </w:pPr>
                            <w:r>
                              <w:rPr>
                                <w:vanish/>
                                <w:lang w:val="en-CA" w:eastAsia="en-CA"/>
                              </w:rPr>
                            </w:r>
                          </w:p>
                        </w:txbxContent>
                      </wps:txbx>
                      <wps:bodyPr anchor="t" lIns="64135" tIns="64135" rIns="64135" bIns="64135">
                        <a:noAutofit/>
                      </wps:bodyPr>
                    </wps:wsp>
                  </a:graphicData>
                </a:graphic>
              </wp:anchor>
            </w:drawing>
          </mc:Choice>
          <mc:Fallback>
            <w:pict>
              <v:rect fillcolor="#FFFFFF" style="position:absolute;rotation:-0;width:579.65pt;height:129.85pt;mso-wrap-distance-left:9.05pt;mso-wrap-distance-right:9.05pt;mso-wrap-distance-top:0pt;mso-wrap-distance-bottom:0pt;margin-top:30pt;mso-position-vertical-relative:page;margin-left:18.7pt;mso-position-horizontal-relative:page">
                <v:textbox inset="0.0701388888888889in,0.0701388888888889in,0.0701388888888889in,0.0701388888888889in">
                  <w:txbxContent>
                    <w:p>
                      <w:pPr>
                        <w:pStyle w:val="Normal"/>
                        <w:rPr>
                          <w:vanish/>
                          <w:lang w:val="en-CA" w:eastAsia="en-CA"/>
                        </w:rPr>
                      </w:pPr>
                      <w:r>
                        <w:rPr>
                          <w:vanish/>
                          <w:lang w:val="en-CA" w:eastAsia="en-CA"/>
                        </w:rPr>
                      </w:r>
                    </w:p>
                  </w:txbxContent>
                </v:textbox>
                <w10:wrap type="topAndBottom"/>
              </v:rect>
            </w:pict>
          </mc:Fallback>
        </mc:AlternateContent>
      </w:r>
    </w:p>
    <w:p>
      <w:pPr>
        <w:pStyle w:val="WorkProduct"/>
        <w:rPr/>
      </w:pPr>
      <w:bookmarkStart w:id="2" w:name="WorkProduct"/>
      <w:bookmarkEnd w:id="2"/>
      <w:r>
        <w:rPr/>
        <w:t>attorney work product</w:t>
        <w:br/>
        <w:t>privileged AND confidential</w:t>
      </w:r>
      <w:r>
        <mc:AlternateContent>
          <mc:Choice Requires="wps">
            <w:drawing>
              <wp:anchor behindDoc="0" distT="118745" distB="118745" distL="118745" distR="118745" simplePos="0" locked="0" layoutInCell="0" allowOverlap="1" relativeHeight="2">
                <wp:simplePos x="0" y="0"/>
                <wp:positionH relativeFrom="page">
                  <wp:posOffset>512445</wp:posOffset>
                </wp:positionH>
                <wp:positionV relativeFrom="page">
                  <wp:posOffset>2058035</wp:posOffset>
                </wp:positionV>
                <wp:extent cx="553085" cy="844550"/>
                <wp:effectExtent l="0" t="0" r="0" b="0"/>
                <wp:wrapTopAndBottom/>
                <wp:docPr id="2" name="Frame2"/>
                <a:graphic xmlns:a="http://schemas.openxmlformats.org/drawingml/2006/main">
                  <a:graphicData uri="http://schemas.microsoft.com/office/word/2010/wordprocessingShape">
                    <wps:wsp>
                      <wps:cNvSpPr txBox="1"/>
                      <wps:spPr>
                        <a:xfrm>
                          <a:off x="0" y="0"/>
                          <a:ext cx="553085" cy="844550"/>
                        </a:xfrm>
                        <a:prstGeom prst="rect"/>
                        <a:solidFill>
                          <a:srgbClr val="FFFFFF">
                            <a:alpha val="0"/>
                          </a:srgbClr>
                        </a:solidFill>
                      </wps:spPr>
                      <wps:txbx>
                        <w:txbxContent>
                          <w:p>
                            <w:pPr>
                              <w:pStyle w:val="DirectDial"/>
                              <w:rPr/>
                            </w:pPr>
                            <w:bookmarkStart w:id="3" w:name="Sender"/>
                            <w:bookmarkEnd w:id="3"/>
                            <w:r>
                              <w:rPr/>
                              <w:fldChar w:fldCharType="begin"/>
                            </w:r>
                            <w:r>
                              <w:rPr/>
                              <w:instrText xml:space="preserve"> DOCPROPERTY "Sender"</w:instrText>
                            </w:r>
                            <w:r>
                              <w:rPr/>
                              <w:fldChar w:fldCharType="separate"/>
                            </w:r>
                            <w:r>
                              <w:rPr/>
                              <w:t>Scott E. Eckas</w:t>
                            </w:r>
                            <w:r>
                              <w:rPr/>
                              <w:fldChar w:fldCharType="end"/>
                            </w:r>
                            <w:r>
                              <w:rPr/>
                              <w:br/>
                              <w:t xml:space="preserve">Direct Dial: </w:t>
                            </w:r>
                            <w:r>
                              <w:rPr/>
                              <w:fldChar w:fldCharType="begin"/>
                            </w:r>
                            <w:r>
                              <w:rPr/>
                              <w:instrText xml:space="preserve"> DOCPROPERTY "DirectDial"</w:instrText>
                            </w:r>
                            <w:r>
                              <w:rPr/>
                              <w:fldChar w:fldCharType="separate"/>
                            </w:r>
                            <w:r>
                              <w:rPr/>
                              <w:t>(212) 504-6968</w:t>
                            </w:r>
                            <w:r>
                              <w:rPr/>
                              <w:fldChar w:fldCharType="end"/>
                            </w:r>
                            <w:bookmarkStart w:id="4" w:name="DirectDial"/>
                            <w:bookmarkEnd w:id="4"/>
                            <w:r>
                              <w:rPr/>
                              <w:br/>
                              <w:t xml:space="preserve">Direct Fax: </w:t>
                            </w:r>
                            <w:r>
                              <w:rPr/>
                              <w:fldChar w:fldCharType="begin"/>
                            </w:r>
                            <w:r>
                              <w:rPr/>
                              <w:instrText xml:space="preserve"> DOCPROPERTY "DirectFax"</w:instrText>
                            </w:r>
                            <w:r>
                              <w:rPr/>
                              <w:fldChar w:fldCharType="separate"/>
                            </w:r>
                            <w:r>
                              <w:rPr/>
                              <w:t>(212) 504-5608</w:t>
                            </w:r>
                            <w:r>
                              <w:rPr/>
                              <w:fldChar w:fldCharType="end"/>
                            </w:r>
                            <w:bookmarkStart w:id="5" w:name="EMail"/>
                            <w:bookmarkStart w:id="6" w:name="DirectFax"/>
                            <w:bookmarkEnd w:id="5"/>
                            <w:bookmarkEnd w:id="6"/>
                          </w:p>
                        </w:txbxContent>
                      </wps:txbx>
                      <wps:bodyPr anchor="t" lIns="0" tIns="0" rIns="0" bIns="0">
                        <a:noAutofit/>
                      </wps:bodyPr>
                    </wps:wsp>
                  </a:graphicData>
                </a:graphic>
              </wp:anchor>
            </w:drawing>
          </mc:Choice>
          <mc:Fallback>
            <w:pict>
              <v:rect fillcolor="#FFFFFF" style="position:absolute;rotation:-0;width:43.55pt;height:66.5pt;mso-wrap-distance-left:9.35pt;mso-wrap-distance-right:9.35pt;mso-wrap-distance-top:9.35pt;mso-wrap-distance-bottom:9.35pt;margin-top:162.05pt;mso-position-vertical-relative:page;margin-left:40.35pt;mso-position-horizontal-relative:page">
                <v:fill opacity="0f"/>
                <v:textbox inset="0in,0in,0in,0in">
                  <w:txbxContent>
                    <w:p>
                      <w:pPr>
                        <w:pStyle w:val="DirectDial"/>
                        <w:rPr/>
                      </w:pPr>
                      <w:bookmarkStart w:id="7" w:name="Sender"/>
                      <w:bookmarkEnd w:id="7"/>
                      <w:r>
                        <w:rPr/>
                        <w:fldChar w:fldCharType="begin"/>
                      </w:r>
                      <w:r>
                        <w:rPr/>
                        <w:instrText xml:space="preserve"> DOCPROPERTY "Sender"</w:instrText>
                      </w:r>
                      <w:r>
                        <w:rPr/>
                        <w:fldChar w:fldCharType="separate"/>
                      </w:r>
                      <w:r>
                        <w:rPr/>
                        <w:t>Scott E. Eckas</w:t>
                      </w:r>
                      <w:r>
                        <w:rPr/>
                        <w:fldChar w:fldCharType="end"/>
                      </w:r>
                      <w:r>
                        <w:rPr/>
                        <w:br/>
                        <w:t xml:space="preserve">Direct Dial: </w:t>
                      </w:r>
                      <w:r>
                        <w:rPr/>
                        <w:fldChar w:fldCharType="begin"/>
                      </w:r>
                      <w:r>
                        <w:rPr/>
                        <w:instrText xml:space="preserve"> DOCPROPERTY "DirectDial"</w:instrText>
                      </w:r>
                      <w:r>
                        <w:rPr/>
                        <w:fldChar w:fldCharType="separate"/>
                      </w:r>
                      <w:r>
                        <w:rPr/>
                        <w:t>(212) 504-6968</w:t>
                      </w:r>
                      <w:r>
                        <w:rPr/>
                        <w:fldChar w:fldCharType="end"/>
                      </w:r>
                      <w:bookmarkStart w:id="8" w:name="DirectDial"/>
                      <w:bookmarkEnd w:id="8"/>
                      <w:r>
                        <w:rPr/>
                        <w:br/>
                        <w:t xml:space="preserve">Direct Fax: </w:t>
                      </w:r>
                      <w:r>
                        <w:rPr/>
                        <w:fldChar w:fldCharType="begin"/>
                      </w:r>
                      <w:r>
                        <w:rPr/>
                        <w:instrText xml:space="preserve"> DOCPROPERTY "DirectFax"</w:instrText>
                      </w:r>
                      <w:r>
                        <w:rPr/>
                        <w:fldChar w:fldCharType="separate"/>
                      </w:r>
                      <w:r>
                        <w:rPr/>
                        <w:t>(212) 504-5608</w:t>
                      </w:r>
                      <w:r>
                        <w:rPr/>
                        <w:fldChar w:fldCharType="end"/>
                      </w:r>
                      <w:bookmarkStart w:id="9" w:name="EMail"/>
                      <w:bookmarkStart w:id="10" w:name="DirectFax"/>
                      <w:bookmarkEnd w:id="9"/>
                      <w:bookmarkEnd w:id="10"/>
                    </w:p>
                  </w:txbxContent>
                </v:textbox>
                <w10:wrap type="topAndBottom"/>
              </v:rect>
            </w:pict>
          </mc:Fallback>
        </mc:AlternateContent>
      </w:r>
    </w:p>
    <w:p>
      <w:pPr>
        <w:pStyle w:val="Normal"/>
        <w:spacing w:before="600" w:after="0"/>
        <w:jc w:val="center"/>
        <w:rPr>
          <w:spacing w:val="110"/>
          <w:sz w:val="36"/>
          <w:u w:val="single"/>
        </w:rPr>
      </w:pPr>
      <w:bookmarkStart w:id="11" w:name="WorkProduct"/>
      <w:bookmarkEnd w:id="11"/>
      <w:r>
        <w:rPr>
          <w:spacing w:val="110"/>
          <w:sz w:val="36"/>
          <w:u w:val="single"/>
        </w:rPr>
        <w:t>DRAFT</w:t>
      </w:r>
    </w:p>
    <w:p>
      <w:pPr>
        <w:pStyle w:val="Normal"/>
        <w:spacing w:before="240" w:after="120"/>
        <w:jc w:val="center"/>
        <w:rPr/>
      </w:pPr>
      <w:r>
        <w:rPr/>
        <w:t>MEMORANDUM</w:t>
      </w:r>
    </w:p>
    <w:tbl>
      <w:tblPr>
        <w:tblW w:w="9576" w:type="dxa"/>
        <w:jc w:val="start"/>
        <w:tblInd w:w="0" w:type="dxa"/>
        <w:tblLayout w:type="fixed"/>
        <w:tblCellMar>
          <w:top w:w="0" w:type="dxa"/>
          <w:start w:w="108" w:type="dxa"/>
          <w:bottom w:w="0" w:type="dxa"/>
          <w:end w:w="108" w:type="dxa"/>
        </w:tblCellMar>
      </w:tblPr>
      <w:tblGrid>
        <w:gridCol w:w="1440"/>
        <w:gridCol w:w="8136"/>
      </w:tblGrid>
      <w:tr>
        <w:trPr/>
        <w:tc>
          <w:tcPr>
            <w:tcW w:w="1440" w:type="dxa"/>
            <w:tcBorders/>
          </w:tcPr>
          <w:p>
            <w:pPr>
              <w:pStyle w:val="Normal"/>
              <w:spacing w:before="240" w:after="0"/>
              <w:ind w:end="144"/>
              <w:jc w:val="end"/>
              <w:rPr>
                <w:b/>
              </w:rPr>
            </w:pPr>
            <w:r>
              <w:rPr>
                <w:b/>
              </w:rPr>
              <w:t>To:</w:t>
            </w:r>
          </w:p>
        </w:tc>
        <w:tc>
          <w:tcPr>
            <w:tcW w:w="8136" w:type="dxa"/>
            <w:tcBorders/>
          </w:tcPr>
          <w:p>
            <w:pPr>
              <w:pStyle w:val="Normal"/>
              <w:spacing w:before="240" w:after="0"/>
              <w:ind w:start="144" w:end="0"/>
              <w:rPr>
                <w:lang w:val="en-CA" w:eastAsia="en-CA"/>
              </w:rPr>
            </w:pPr>
            <w:bookmarkStart w:id="12" w:name="To"/>
            <w:bookmarkEnd w:id="12"/>
            <w:r>
              <w:rPr>
                <w:lang w:val="en-CA" w:eastAsia="en-CA"/>
              </w:rPr>
              <w:t>Mark E. Taylor</w:t>
              <w:br/>
              <w:t>(Enron North America Corporation)</w:t>
            </w:r>
          </w:p>
        </w:tc>
      </w:tr>
      <w:tr>
        <w:trPr/>
        <w:tc>
          <w:tcPr>
            <w:tcW w:w="1440" w:type="dxa"/>
            <w:tcBorders/>
          </w:tcPr>
          <w:p>
            <w:pPr>
              <w:pStyle w:val="Normal"/>
              <w:spacing w:before="240" w:after="0"/>
              <w:ind w:end="144"/>
              <w:jc w:val="end"/>
              <w:rPr>
                <w:b/>
              </w:rPr>
            </w:pPr>
            <w:r>
              <w:rPr>
                <w:b/>
              </w:rPr>
              <w:t>From:</w:t>
            </w:r>
          </w:p>
        </w:tc>
        <w:tc>
          <w:tcPr>
            <w:tcW w:w="8136" w:type="dxa"/>
            <w:tcBorders/>
          </w:tcPr>
          <w:p>
            <w:pPr>
              <w:pStyle w:val="Normal"/>
              <w:spacing w:before="240" w:after="0"/>
              <w:ind w:start="144" w:end="0"/>
              <w:rPr>
                <w:lang w:val="en-CA" w:eastAsia="en-CA"/>
              </w:rPr>
            </w:pPr>
            <w:bookmarkStart w:id="13" w:name="From"/>
            <w:bookmarkEnd w:id="13"/>
            <w:r>
              <w:rPr>
                <w:lang w:val="en-CA" w:eastAsia="en-CA"/>
              </w:rPr>
              <w:t>David S. Mitchell</w:t>
              <w:br/>
              <w:t>Scott E. Eckas</w:t>
            </w:r>
          </w:p>
        </w:tc>
      </w:tr>
      <w:tr>
        <w:trPr/>
        <w:tc>
          <w:tcPr>
            <w:tcW w:w="1440" w:type="dxa"/>
            <w:tcBorders/>
          </w:tcPr>
          <w:p>
            <w:pPr>
              <w:pStyle w:val="Normal"/>
              <w:spacing w:before="240" w:after="0"/>
              <w:ind w:end="144"/>
              <w:jc w:val="end"/>
              <w:rPr>
                <w:b/>
              </w:rPr>
            </w:pPr>
            <w:bookmarkStart w:id="14" w:name="Date"/>
            <w:bookmarkEnd w:id="14"/>
            <w:r>
              <w:rPr>
                <w:b/>
              </w:rPr>
              <w:t>Date:</w:t>
            </w:r>
          </w:p>
        </w:tc>
        <w:tc>
          <w:tcPr>
            <w:tcW w:w="8136" w:type="dxa"/>
            <w:tcBorders/>
          </w:tcPr>
          <w:p>
            <w:pPr>
              <w:pStyle w:val="Normal"/>
              <w:spacing w:before="240" w:after="0"/>
              <w:ind w:start="144" w:end="0"/>
              <w:rPr/>
            </w:pPr>
            <w:r>
              <w:rPr/>
              <w:t>May 17, 2000</w:t>
            </w:r>
          </w:p>
        </w:tc>
      </w:tr>
      <w:tr>
        <w:trPr/>
        <w:tc>
          <w:tcPr>
            <w:tcW w:w="1440" w:type="dxa"/>
            <w:tcBorders>
              <w:bottom w:val="double" w:sz="4" w:space="0" w:color="000000"/>
            </w:tcBorders>
          </w:tcPr>
          <w:p>
            <w:pPr>
              <w:pStyle w:val="Normal"/>
              <w:spacing w:before="240" w:after="240"/>
              <w:ind w:end="144"/>
              <w:jc w:val="end"/>
              <w:rPr>
                <w:b/>
              </w:rPr>
            </w:pPr>
            <w:r>
              <w:rPr>
                <w:b/>
              </w:rPr>
              <w:t>Re:</w:t>
            </w:r>
          </w:p>
        </w:tc>
        <w:tc>
          <w:tcPr>
            <w:tcW w:w="8136" w:type="dxa"/>
            <w:tcBorders>
              <w:bottom w:val="double" w:sz="4" w:space="0" w:color="000000"/>
            </w:tcBorders>
          </w:tcPr>
          <w:p>
            <w:pPr>
              <w:pStyle w:val="Normal"/>
              <w:tabs>
                <w:tab w:val="clear" w:pos="720"/>
                <w:tab w:val="left" w:pos="7200" w:leader="none"/>
              </w:tabs>
              <w:spacing w:before="240" w:after="240"/>
              <w:ind w:start="144" w:end="720"/>
              <w:jc w:val="both"/>
              <w:rPr>
                <w:u w:val="single"/>
              </w:rPr>
            </w:pPr>
            <w:bookmarkStart w:id="15" w:name="Re"/>
            <w:bookmarkEnd w:id="15"/>
            <w:r>
              <w:rPr>
                <w:u w:val="single"/>
              </w:rPr>
              <w:t>Offshore Services Day Rate Derivative Products</w:t>
            </w:r>
          </w:p>
        </w:tc>
      </w:tr>
      <w:tr>
        <w:trPr/>
        <w:tc>
          <w:tcPr>
            <w:tcW w:w="1440" w:type="dxa"/>
            <w:tcBorders/>
          </w:tcPr>
          <w:p>
            <w:pPr>
              <w:pStyle w:val="Normal"/>
              <w:snapToGrid w:val="false"/>
              <w:ind w:end="144"/>
              <w:jc w:val="end"/>
              <w:rPr>
                <w:b/>
                <w:u w:val="single"/>
              </w:rPr>
            </w:pPr>
            <w:r>
              <w:rPr>
                <w:b/>
                <w:u w:val="single"/>
              </w:rPr>
            </w:r>
          </w:p>
        </w:tc>
        <w:tc>
          <w:tcPr>
            <w:tcW w:w="8136" w:type="dxa"/>
            <w:tcBorders/>
          </w:tcPr>
          <w:p>
            <w:pPr>
              <w:pStyle w:val="Normal"/>
              <w:snapToGrid w:val="false"/>
              <w:ind w:start="144" w:end="0"/>
              <w:rPr>
                <w:b/>
              </w:rPr>
            </w:pPr>
            <w:r>
              <w:rPr>
                <w:b/>
              </w:rPr>
            </w:r>
          </w:p>
        </w:tc>
      </w:tr>
    </w:tbl>
    <w:p>
      <w:pPr>
        <w:pStyle w:val="BodyMain"/>
        <w:rPr/>
      </w:pPr>
      <w:bookmarkStart w:id="16" w:name="Body"/>
      <w:bookmarkEnd w:id="16"/>
      <w:r>
        <w:rPr/>
        <w:t xml:space="preserve">Pursuant to your request, we have considered whether certain Offshore Services Day Rate Derivative Products (“Day Rate Products”), as defined below, that </w:t>
      </w:r>
      <w:r>
        <w:rPr>
          <w:lang w:val="en-CA" w:eastAsia="en-CA"/>
        </w:rPr>
        <w:t xml:space="preserve">Enron North America Corporation (“ENA”) proposes to market </w:t>
      </w:r>
      <w:r>
        <w:rPr/>
        <w:t>would be subject to regulation by the Commodity Futures Trading Commission (“CFTC”) or the Securities and Exchange Commission (“SEC”).  We also have considered whether ENA could be subject to liability for manipulation of the market price of publicly-traded companies in the oil and natural gas drilling industries by virtue of marketing and engaging in Day Rate Product transactions.</w:t>
      </w:r>
    </w:p>
    <w:p>
      <w:pPr>
        <w:pStyle w:val="BodyMain"/>
        <w:keepNext w:val="true"/>
        <w:keepLines/>
        <w:ind w:hanging="0" w:end="0"/>
        <w:rPr>
          <w:b/>
          <w:u w:val="single"/>
        </w:rPr>
      </w:pPr>
      <w:r>
        <w:rPr>
          <w:b/>
          <w:u w:val="single"/>
        </w:rPr>
        <w:t>CONCLUSION</w:t>
      </w:r>
    </w:p>
    <w:p>
      <w:pPr>
        <w:pStyle w:val="BodyMain"/>
        <w:rPr/>
      </w:pPr>
      <w:r>
        <w:rPr/>
        <w:t xml:space="preserve">As set forth more fully below, we believe that the Day Rate Products likely would be viewed as over-the-counter derivative products rather than as securities and thus would not be subject to regulation by the SEC under the federal securities laws.  While the CFTC arguably would have jurisdiction over the Day Rate Products, they should qualify for an exemption from CFTC regulation under the Commodity Exchange Act (the “CEA”), except for antifraud and antimanipulation provisions.  Finally, we believe it is highly unlikely under the relevant facts that ENA would be liable for manipulation of the market price of publicly-traded companies in the oil and natural gas drilling industries by virtue of engaging in the Day Rate Product transactions. </w:t>
      </w:r>
    </w:p>
    <w:p>
      <w:pPr>
        <w:pStyle w:val="BodyMain"/>
        <w:spacing w:before="120" w:after="0"/>
        <w:ind w:hanging="0" w:end="0"/>
        <w:jc w:val="start"/>
        <w:rPr>
          <w:b/>
          <w:u w:val="single"/>
        </w:rPr>
      </w:pPr>
      <w:r>
        <w:rPr>
          <w:b/>
          <w:u w:val="single"/>
        </w:rPr>
        <w:t>SUMMARY OF THE RELEVANT FACTS</w:t>
      </w:r>
    </w:p>
    <w:p>
      <w:pPr>
        <w:pStyle w:val="BodyMain"/>
        <w:rPr/>
      </w:pPr>
      <w:r>
        <w:rPr/>
        <w:t xml:space="preserve">We understand the relevant facts to be as follows.  </w:t>
      </w:r>
      <w:r>
        <w:rPr>
          <w:lang w:val="en-CA" w:eastAsia="en-CA"/>
        </w:rPr>
        <w:t xml:space="preserve">ENA </w:t>
      </w:r>
      <w:r>
        <w:rPr/>
        <w:t xml:space="preserve">intends to offer cash-settled derivative products based on the day rates charged by drilling companies for leasing offshore drilling rigs and related equipment used in the oil and gas drilling exploration industry.  These derivative products will be privately negotiated between ENA and each counterparty, and may take the form of swaps, caps and floors, or options.  Each counterparty will be a commercial or institutional entity that qualifies as an “eligible swap participant” under Part 35 of the CFTC’s regulations.  These transactions will be entered into on the basis of individualized counterparty credit risk assessment and will be documented under ISDA forms of Master Agreement.  Initially, the underlying will be the day rates for Gulf of Mexico jackup drilling rigs.  Eventually, ENA also may offer derivative products based on the underlying level of day rates for other offshore drilling or exploration equipment, such as support vessels, crude tankers, and ships.  The counterparties may enter into these Day Rate Product transactions as a hedge on the price of various day rate services or to express a market view.  </w:t>
      </w:r>
    </w:p>
    <w:p>
      <w:pPr>
        <w:pStyle w:val="BodyMain"/>
        <w:rPr/>
      </w:pPr>
      <w:r>
        <w:rPr/>
        <w:t>ENA believes that the day rates for the various offshore services correlate with the prices of publicly traded companies in the oil and natural gas drilling industries.  To hedge or manage the exposure resulting from these Day Rate Product derivatives transactions, ENA may effect transactions in the securities of such companies.  It is at least theoretically possible that entering into Day Rate Products derivatives transactions could affect the market price of publicly traded companies in the oil and natural gas drilling industries.</w:t>
      </w:r>
    </w:p>
    <w:p>
      <w:pPr>
        <w:pStyle w:val="BodyMain"/>
        <w:spacing w:before="120" w:after="0"/>
        <w:ind w:hanging="0" w:end="0"/>
        <w:jc w:val="start"/>
        <w:rPr>
          <w:b/>
          <w:u w:val="single"/>
        </w:rPr>
      </w:pPr>
      <w:r>
        <w:rPr>
          <w:b/>
          <w:u w:val="single"/>
        </w:rPr>
        <w:t>ANALYSIS</w:t>
      </w:r>
    </w:p>
    <w:p>
      <w:pPr>
        <w:pStyle w:val="BodyMain"/>
        <w:tabs>
          <w:tab w:val="clear" w:pos="720"/>
          <w:tab w:val="left" w:pos="3600" w:leader="none"/>
        </w:tabs>
        <w:spacing w:lineRule="auto" w:line="480" w:before="240" w:after="0"/>
        <w:ind w:hanging="0" w:end="0"/>
        <w:rPr>
          <w:b/>
          <w:u w:val="single"/>
        </w:rPr>
      </w:pPr>
      <w:r>
        <w:rPr>
          <w:b/>
          <w:u w:val="single"/>
        </w:rPr>
        <w:t>Regulation of Day Rate Products</w:t>
      </w:r>
    </w:p>
    <w:p>
      <w:pPr>
        <w:pStyle w:val="BodyMain"/>
        <w:tabs>
          <w:tab w:val="clear" w:pos="720"/>
          <w:tab w:val="left" w:pos="3600" w:leader="none"/>
        </w:tabs>
        <w:spacing w:lineRule="auto" w:line="480"/>
        <w:rPr/>
      </w:pPr>
      <w:r>
        <w:rPr/>
        <w:t>As a general matter, individually negotiated, non-transferable, cash-settled derivative transactions between commercial counterparties that are not linked to the price of securities or the level of securities indexes are not thought to be securities within the meaning of the federal securities laws.  Accordingly, based upon our understanding of the above facts, the Day Rate Products should not be subject to SEC regulation.</w:t>
      </w:r>
    </w:p>
    <w:p>
      <w:pPr>
        <w:pStyle w:val="BodyMain"/>
        <w:tabs>
          <w:tab w:val="clear" w:pos="720"/>
          <w:tab w:val="left" w:pos="3600" w:leader="none"/>
        </w:tabs>
        <w:spacing w:lineRule="auto" w:line="480"/>
        <w:rPr/>
      </w:pPr>
      <w:r>
        <w:rPr/>
        <w:t xml:space="preserve">However, the Day Rate Products arguably would come within the jurisdiction of the CFTC.  Section 1(a)(3) of the CEA defines the term “commodity” to include certain specified domestic agricultural products such as wheat and corn, as well as “all other goods and articles…and </w:t>
      </w:r>
      <w:r>
        <w:rPr>
          <w:u w:val="single"/>
        </w:rPr>
        <w:t>all services, rights, and interests</w:t>
      </w:r>
      <w:r>
        <w:rPr/>
        <w:t xml:space="preserve"> in which contracts for future delivery are presently or in the future dealt in” (emphasis added).  Together with other provisions of the CEA, this definition is intended to give the CFTC jurisdiction to regulate all futures trading in the United States, regardless of the underlying commodity.  Pursuant thereto, the CFTC has approved futures contracts on intangible measures of value such as the Consumer Price Index and is currently reviewing an application for futures contracts on barge freight rates.</w:t>
      </w:r>
    </w:p>
    <w:p>
      <w:pPr>
        <w:pStyle w:val="BodyMain"/>
        <w:tabs>
          <w:tab w:val="clear" w:pos="720"/>
          <w:tab w:val="left" w:pos="3600" w:leader="none"/>
        </w:tabs>
        <w:spacing w:lineRule="auto" w:line="480"/>
        <w:rPr/>
      </w:pPr>
      <w:r>
        <w:rPr/>
        <w:t xml:space="preserve">Under this broad definition, it appears to us that offshore services day rates constitute a “service, right or interest.”  Because the phrase “in which contracts for future delivery are presently or in the future dealt in” qualifies the words “services, rights, and interests,” an argument could be made that, unless and until these day rates become the subject of futures trading on a CFTC-approved exchange, they do not constitute a statutory commodity under the CEA.  However, we believe the better view is that the reference in the definition to “contracts for future delivery” includes off-exchange transactions such as swap transactions.  Under this view, offshore services day rates will become a statutory commodity as soon as ENA and its counterparties begin to enter into swap transactions involving them.  </w:t>
      </w:r>
    </w:p>
    <w:p>
      <w:pPr>
        <w:pStyle w:val="BodyMain"/>
        <w:tabs>
          <w:tab w:val="clear" w:pos="720"/>
          <w:tab w:val="left" w:pos="3600" w:leader="none"/>
        </w:tabs>
        <w:spacing w:lineRule="auto" w:line="480"/>
        <w:rPr/>
      </w:pPr>
      <w:r>
        <w:rPr/>
        <w:t xml:space="preserve">We believe that Day Rate Products swap transactions should qualify for an exemption from CFTC regulation under the CEA which is available for most swap transactions pursuant to Part 35 of the CFTC’s regulations.  These rules require that a qualifying swap transaction (i) be entered into between eligible swap participants, as defined, on the basis of individualized counterparty credit risk assessment; (ii) not be part of a fungible class of agreements that are standardized as to their material economic terms; and (iii) not be entered into or traded on or through a multilateral transaction execution facility, </w:t>
      </w:r>
      <w:r>
        <w:rPr>
          <w:u w:val="single"/>
        </w:rPr>
        <w:t>i.e.</w:t>
      </w:r>
      <w:r>
        <w:rPr/>
        <w:t>, a facility “in which all market makers and other participants that are members simultaneously have the ability to execute transactions and bind both parties by accepting offers which are made by one member and open to all members of the facility.”  If these requirements are satisfied, a qualifying  swap transaction is exempt from the provisions of the CEA, except for antifraud and antimanipulation provisions.</w:t>
      </w:r>
    </w:p>
    <w:p>
      <w:pPr>
        <w:pStyle w:val="BodyMain"/>
        <w:tabs>
          <w:tab w:val="clear" w:pos="720"/>
          <w:tab w:val="left" w:pos="3600" w:leader="none"/>
        </w:tabs>
        <w:spacing w:lineRule="auto" w:line="480"/>
        <w:rPr/>
      </w:pPr>
      <w:r>
        <w:rPr/>
        <w:t>Under the CEA, the CFTC also has jurisdiction to regulate the trading of commodity options, but does not have jurisdiction over options on any security.  Under the view that we have taken, an option or a cap or floor on offshore services day rates would constitute a commodity option rather than an option on a security.  Thus, these transactions could be effected pursuant to the Part 35 rules in the case of caps or floors, or the trade option exemption in Rule 32.4(a) in the case of options.  Rule 32.4(a), referred to as the trade option exemption, requires that the option offeror have a reasonable basis believe that:  (i) the option is offered to a commercial party such as a commercial user of, or merchant handling the, underlying commodity, and (ii) such commercial party is offered or enters into the transaction solely for commercial purposes related to its business.</w:t>
      </w:r>
    </w:p>
    <w:p>
      <w:pPr>
        <w:pStyle w:val="BodyMain"/>
        <w:tabs>
          <w:tab w:val="clear" w:pos="720"/>
          <w:tab w:val="left" w:pos="3600" w:leader="none"/>
        </w:tabs>
        <w:spacing w:lineRule="auto" w:line="480" w:before="120" w:after="0"/>
        <w:ind w:hanging="0" w:end="0"/>
        <w:rPr>
          <w:b/>
          <w:u w:val="single"/>
        </w:rPr>
      </w:pPr>
      <w:r>
        <w:rPr>
          <w:b/>
          <w:u w:val="single"/>
        </w:rPr>
        <w:t>Potential Liability for Manipulation of Oil and Gas Drilling Industry Stocks</w:t>
      </w:r>
    </w:p>
    <w:p>
      <w:pPr>
        <w:pStyle w:val="BodyMain"/>
        <w:spacing w:lineRule="auto" w:line="480"/>
        <w:rPr/>
      </w:pPr>
      <w:r>
        <w:rPr/>
        <w:t>You have indicated that it is at least theoretically possible that entering into Day Rate Products derivatives transactions could affect the market price of publicly-traded companies in the oil and natural gas drilling industries.  It likewise is at least theoretically possible that ENA’s hedging activity to manage the exposure of the Day Rate Products could affect the market price of such stocks.  However, merely affecting the price of a stock, without more, is in no way prohibited and does not constitute manipulation under applicable law.</w:t>
      </w:r>
    </w:p>
    <w:p>
      <w:pPr>
        <w:pStyle w:val="BodyMain"/>
        <w:spacing w:lineRule="auto" w:line="480"/>
        <w:rPr/>
      </w:pPr>
      <w:r>
        <w:rPr/>
        <w:t xml:space="preserve">The tests for manipulation are substantively the same under the CEA and the federal securities laws.  Under the CEA, case law and regulatory decisions have combined to create a three-part test for determining whether a manipulation has occurred.  Specifically, to prove manipulation of the market at a particular time, it is necessary to demonstrate that (1) an artificial price existed at that time; (2) the accused trader caused the artificial price; and (3) the accused trader intended to cause the artificial price.  The federal securities laws set out a nearly identical set of elements necessary to prove manipulative practices in the context of publicly traded securities.  These elements are: (1) proof that the trader effected the requisite series of transactions; (2) proof that an artificial price was created; and (3) a showing of a manipulative purpose.  Under both the CEA and the federal securities laws, “artificial price” generally is defined as </w:t>
      </w:r>
      <w:r>
        <w:rPr>
          <w:color w:val="000000"/>
        </w:rPr>
        <w:t xml:space="preserve">a price that does not accurately reflect the market value of the commodity or security as determined by available information and market forces of supply and demand.  </w:t>
      </w:r>
    </w:p>
    <w:p>
      <w:pPr>
        <w:pStyle w:val="BodyMain"/>
        <w:spacing w:lineRule="auto" w:line="480"/>
        <w:rPr/>
      </w:pPr>
      <w:r>
        <w:rPr/>
        <w:t>Accordingly, even assuming arguendo that transactions in Day Rate Products somehow could affect the price of publicly traded stocks in the oil and natural gas drilling industries, such affect would not amount to an “artificial price” because any affect on the price of such stocks would have a basis in the underlying economic value of the stocks.  Moreover, absent highly unusual circumstances, we believe that it would be difficult to demonstrate that ENA “intended” to cause such an artificial price and to manipulate the market.  Notwithstanding the difficulty of proving a manipulation case, ENA should review all written materials used to market this product and caution its sales personnel not to suggest that the Day Rate Products might in any way be used to manipulate the market.</w:t>
      </w:r>
    </w:p>
    <w:p>
      <w:pPr>
        <w:pStyle w:val="BodyMain"/>
        <w:tabs>
          <w:tab w:val="clear" w:pos="720"/>
          <w:tab w:val="left" w:pos="1440" w:leader="none"/>
        </w:tabs>
        <w:spacing w:lineRule="auto" w:line="480"/>
        <w:rPr/>
      </w:pPr>
      <w:r>
        <w:rPr/>
        <w:t>In addition, it is highly unlikely that ENA would be liable under an aiding or abetting theory if one of ENA’s counterparties attempted to use Day Rate Products transactions to manipulate the market.  To be liable for aiding and abetting under each of these statutes, it must be established that the defendant (1) had knowledge of the principal’s intent to commit a violation of the statute; (2) had the intent to further that violation; and (3) committed some act in furtherance of the principal’s objective.  Consequently, the difficulty in establishing liability for market manipulation is only exacerbated under an aiding and abetting theory because the intent of the alleged aider must be proven, in addition to the intent of the principal.</w:t>
      </w:r>
    </w:p>
    <w:p>
      <w:pPr>
        <w:pStyle w:val="BodyMain"/>
        <w:tabs>
          <w:tab w:val="clear" w:pos="720"/>
          <w:tab w:val="left" w:pos="1440" w:leader="none"/>
        </w:tabs>
        <w:spacing w:lineRule="auto" w:line="480"/>
        <w:rPr/>
      </w:pPr>
      <w:r>
        <w:rPr/>
        <w:t>We note further that over-the-counter derivative products have generally been viewed as presenting limited market integrity concerns because they are considered to be less susceptible to price manipulation and are not viewed as serving a significant price discovery function.  They have also been considered less susceptible to price manipulation or being used for price manipulation because they are settled in cash, based on a rate or price determined by a separate, liquid market with a large or unlimited delivery supply.  This rationale provides some additional comfort for the conclusion that we have reached on this issue to the extent that it would be applicable to Day Rate Products.</w:t>
      </w:r>
    </w:p>
    <w:p>
      <w:pPr>
        <w:pStyle w:val="BodyMain"/>
        <w:ind w:hanging="0" w:end="0"/>
        <w:jc w:val="center"/>
        <w:rPr/>
      </w:pPr>
      <w:r>
        <w:rPr/>
        <w:t>*  *  *  *  *  *  *  *</w:t>
      </w:r>
    </w:p>
    <w:p>
      <w:pPr>
        <w:pStyle w:val="BodyMain"/>
        <w:ind w:hanging="0" w:end="0"/>
        <w:rPr/>
      </w:pPr>
      <w:r>
        <w:rPr/>
        <w:tab/>
        <w:tab/>
        <w:t>Please contact David S. Mitchell at (212) 504-6285 or Scott E. Eckas at (212) 504-6968 if you have any questions or would like any additional detail regarding these issues.</w:t>
      </w:r>
    </w:p>
    <w:p>
      <w:pPr>
        <w:pStyle w:val="BodyMain"/>
        <w:ind w:hanging="0" w:end="0"/>
        <w:rPr/>
      </w:pPr>
      <w:r>
        <w:rPr/>
      </w:r>
    </w:p>
    <w:p>
      <w:pPr>
        <w:pStyle w:val="BodyMain"/>
        <w:ind w:hanging="0" w:end="0"/>
        <w:rPr/>
      </w:pPr>
      <w:r>
        <w:rPr/>
        <w:tab/>
        <w:tab/>
        <w:tab/>
        <w:tab/>
        <w:tab/>
        <w:tab/>
        <w:tab/>
        <w:tab/>
        <w:t>D.S.M.</w:t>
        <w:br/>
        <w:tab/>
        <w:tab/>
        <w:tab/>
        <w:tab/>
        <w:tab/>
        <w:tab/>
        <w:tab/>
        <w:tab/>
        <w:t>S.E.E.</w:t>
      </w:r>
    </w:p>
    <w:p>
      <w:pPr>
        <w:pStyle w:val="BodyMain"/>
        <w:ind w:hanging="0" w:end="0"/>
        <w:rPr/>
      </w:pPr>
      <w:r>
        <w:rPr/>
      </w:r>
    </w:p>
    <w:p>
      <w:pPr>
        <w:pStyle w:val="BodyMain"/>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Short"</w:instrText>
    </w:r>
    <w:r>
      <w:rPr>
        <w:sz w:val="16"/>
      </w:rPr>
      <w:fldChar w:fldCharType="separate"/>
    </w:r>
    <w:r>
      <w:rPr>
        <w:sz w:val="16"/>
      </w:rPr>
      <w:t>113441.2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CWT 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none"/>
      <w:suff w:val="nothing"/>
      <w:lvlText w:val="bcc:"/>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1"/>
      <w:numFmt w:val="none"/>
      <w:suff w:val="nothing"/>
      <w:lvlText w:val="cc:"/>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Main"/>
    <w:qFormat/>
    <w:pPr>
      <w:keepNext w:val="true"/>
      <w:keepLines/>
      <w:numPr>
        <w:ilvl w:val="0"/>
        <w:numId w:val="1"/>
      </w:numPr>
      <w:spacing w:before="360" w:after="0"/>
      <w:outlineLvl w:val="0"/>
    </w:pPr>
    <w:rPr/>
  </w:style>
  <w:style w:type="paragraph" w:styleId="Heading2">
    <w:name w:val="heading 2"/>
    <w:basedOn w:val="Normal"/>
    <w:next w:val="BodyMain"/>
    <w:qFormat/>
    <w:pPr>
      <w:keepNext w:val="true"/>
      <w:keepLines/>
      <w:numPr>
        <w:ilvl w:val="1"/>
        <w:numId w:val="1"/>
      </w:numPr>
      <w:spacing w:before="240" w:after="0"/>
      <w:outlineLvl w:val="1"/>
    </w:pPr>
    <w:rPr/>
  </w:style>
  <w:style w:type="paragraph" w:styleId="Heading3">
    <w:name w:val="heading 3"/>
    <w:basedOn w:val="Normal"/>
    <w:next w:val="BodyMain"/>
    <w:qFormat/>
    <w:pPr>
      <w:keepNext w:val="true"/>
      <w:keepLines/>
      <w:numPr>
        <w:ilvl w:val="2"/>
        <w:numId w:val="1"/>
      </w:numPr>
      <w:spacing w:before="240" w:after="0"/>
      <w:outlineLvl w:val="2"/>
    </w:pPr>
    <w:rPr/>
  </w:style>
  <w:style w:type="paragraph" w:styleId="Heading4">
    <w:name w:val="heading 4"/>
    <w:basedOn w:val="Normal"/>
    <w:next w:val="BodyMain"/>
    <w:qFormat/>
    <w:pPr>
      <w:keepNext w:val="true"/>
      <w:keepLines/>
      <w:numPr>
        <w:ilvl w:val="3"/>
        <w:numId w:val="1"/>
      </w:numPr>
      <w:spacing w:before="240" w:after="0"/>
      <w:outlineLvl w:val="3"/>
    </w:pPr>
    <w:rPr/>
  </w:style>
  <w:style w:type="paragraph" w:styleId="Heading5">
    <w:name w:val="heading 5"/>
    <w:basedOn w:val="Normal"/>
    <w:next w:val="BodyMain"/>
    <w:qFormat/>
    <w:pPr>
      <w:keepNext w:val="true"/>
      <w:keepLines/>
      <w:numPr>
        <w:ilvl w:val="4"/>
        <w:numId w:val="1"/>
      </w:numPr>
      <w:spacing w:before="240" w:after="0"/>
      <w:outlineLvl w:val="4"/>
    </w:pPr>
    <w:rPr/>
  </w:style>
  <w:style w:type="paragraph" w:styleId="Heading6">
    <w:name w:val="heading 6"/>
    <w:basedOn w:val="Normal"/>
    <w:next w:val="BodyMain"/>
    <w:qFormat/>
    <w:pPr>
      <w:keepNext w:val="true"/>
      <w:keepLines/>
      <w:numPr>
        <w:ilvl w:val="5"/>
        <w:numId w:val="1"/>
      </w:numPr>
      <w:spacing w:before="240" w:after="0"/>
      <w:outlineLvl w:val="5"/>
    </w:pPr>
    <w:rPr/>
  </w:style>
  <w:style w:type="paragraph" w:styleId="Heading7">
    <w:name w:val="heading 7"/>
    <w:basedOn w:val="Normal"/>
    <w:next w:val="BodyMain"/>
    <w:qFormat/>
    <w:pPr>
      <w:keepNext w:val="true"/>
      <w:keepLines/>
      <w:numPr>
        <w:ilvl w:val="6"/>
        <w:numId w:val="1"/>
      </w:numPr>
      <w:spacing w:before="240" w:after="0"/>
      <w:outlineLvl w:val="6"/>
    </w:pPr>
    <w:rPr/>
  </w:style>
  <w:style w:type="paragraph" w:styleId="Heading8">
    <w:name w:val="heading 8"/>
    <w:basedOn w:val="Normal"/>
    <w:next w:val="BodyMain"/>
    <w:qFormat/>
    <w:pPr>
      <w:keepNext w:val="true"/>
      <w:keepLines/>
      <w:numPr>
        <w:ilvl w:val="7"/>
        <w:numId w:val="1"/>
      </w:numPr>
      <w:spacing w:before="240" w:after="0"/>
      <w:outlineLvl w:val="7"/>
    </w:pPr>
    <w:rPr/>
  </w:style>
  <w:style w:type="paragraph" w:styleId="Heading9">
    <w:name w:val="heading 9"/>
    <w:basedOn w:val="Normal"/>
    <w:next w:val="BodyMain"/>
    <w:qFormat/>
    <w:pPr>
      <w:keepNext w:val="true"/>
      <w:keepLines/>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val="false"/>
      <w:i w:val="false"/>
      <w:sz w:val="24"/>
    </w:rPr>
  </w:style>
  <w:style w:type="character" w:styleId="WW8Num12z1">
    <w:name w:val="WW8Num12z1"/>
    <w:qFormat/>
    <w:rPr>
      <w:rFonts w:ascii="Times New Roman" w:hAnsi="Times New Roman" w:cs="Times New Roman"/>
      <w:b w:val="false"/>
      <w:i w:val="false"/>
      <w:sz w:val="24"/>
      <w:u w:val="non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irectDial">
    <w:name w:val="Direct Dial"/>
    <w:basedOn w:val="Normal"/>
    <w:qFormat/>
    <w:pPr>
      <w:spacing w:lineRule="exact" w:line="190"/>
    </w:pPr>
    <w:rPr>
      <w:sz w:val="15"/>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Main">
    <w:name w:val="Body Main"/>
    <w:basedOn w:val="Normal"/>
    <w:qFormat/>
    <w:pPr>
      <w:spacing w:lineRule="exact" w:line="540"/>
      <w:ind w:firstLine="1440" w:start="0" w:end="0"/>
      <w:jc w:val="both"/>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lockQuote">
    <w:name w:val="Block Quote"/>
    <w:basedOn w:val="Normal"/>
    <w:qFormat/>
    <w:pPr>
      <w:spacing w:before="240" w:after="0"/>
      <w:ind w:hanging="0" w:start="1440" w:end="1440"/>
      <w:jc w:val="both"/>
    </w:pPr>
    <w:rPr/>
  </w:style>
  <w:style w:type="paragraph" w:styleId="BodyContd">
    <w:name w:val="Body Cont'd"/>
    <w:basedOn w:val="BodyMain"/>
    <w:next w:val="BodyMain"/>
    <w:qFormat/>
    <w:pPr>
      <w:ind w:hanging="0" w:start="0" w:end="0"/>
    </w:pPr>
    <w:rPr/>
  </w:style>
  <w:style w:type="paragraph" w:styleId="Bcc">
    <w:name w:val="Bcc"/>
    <w:basedOn w:val="Normal"/>
    <w:next w:val="Normal"/>
    <w:qFormat/>
    <w:pPr>
      <w:keepLines/>
      <w:numPr>
        <w:ilvl w:val="0"/>
        <w:numId w:val="2"/>
      </w:numPr>
      <w:spacing w:before="240" w:after="0"/>
    </w:pPr>
    <w:rPr>
      <w:lang w:eastAsia="en-CA"/>
    </w:rPr>
  </w:style>
  <w:style w:type="paragraph" w:styleId="Initials">
    <w:name w:val="Initials"/>
    <w:basedOn w:val="Normal"/>
    <w:next w:val="Cc"/>
    <w:qFormat/>
    <w:pPr>
      <w:keepLines/>
      <w:spacing w:before="480" w:after="0"/>
      <w:ind w:hanging="0" w:start="4680" w:end="0"/>
    </w:pPr>
    <w:rPr>
      <w:caps/>
    </w:rPr>
  </w:style>
  <w:style w:type="paragraph" w:styleId="Cc">
    <w:name w:val="Cc"/>
    <w:basedOn w:val="Normal"/>
    <w:next w:val="Bcc"/>
    <w:qFormat/>
    <w:pPr>
      <w:keepLines/>
      <w:numPr>
        <w:ilvl w:val="0"/>
        <w:numId w:val="4"/>
      </w:numPr>
      <w:spacing w:before="240" w:after="0"/>
    </w:pPr>
    <w:rPr>
      <w:lang w:eastAsia="en-CA"/>
    </w:rPr>
  </w:style>
  <w:style w:type="paragraph" w:styleId="FootnoteText">
    <w:name w:val="footnote text"/>
    <w:basedOn w:val="Normal"/>
    <w:pPr>
      <w:tabs>
        <w:tab w:val="clear" w:pos="720"/>
        <w:tab w:val="left" w:pos="360" w:leader="none"/>
      </w:tabs>
      <w:spacing w:before="120" w:after="0"/>
      <w:jc w:val="both"/>
    </w:pPr>
    <w:rPr>
      <w:sz w:val="22"/>
    </w:rPr>
  </w:style>
  <w:style w:type="paragraph" w:styleId="ListItem">
    <w:name w:val="List Item"/>
    <w:basedOn w:val="Normal"/>
    <w:qFormat/>
    <w:pPr>
      <w:numPr>
        <w:ilvl w:val="0"/>
        <w:numId w:val="3"/>
      </w:numPr>
      <w:tabs>
        <w:tab w:val="left" w:pos="720" w:leader="none"/>
      </w:tabs>
      <w:spacing w:before="240" w:after="0"/>
      <w:ind w:hanging="0" w:start="720" w:end="0"/>
      <w:jc w:val="both"/>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WorkProduct">
    <w:name w:val="Work Product"/>
    <w:basedOn w:val="Normal"/>
    <w:qFormat/>
    <w:pPr>
      <w:spacing w:lineRule="auto" w:line="300"/>
      <w:jc w:val="end"/>
    </w:pPr>
    <w:rPr>
      <w:caps/>
      <w:sz w:val="16"/>
    </w:rPr>
  </w:style>
  <w:style w:type="paragraph" w:styleId="EnvelopeReturn">
    <w:name w:val="envelope return"/>
    <w:basedOn w:val="Normal"/>
    <w:pPr/>
    <w:rPr>
      <w:sz w:val="20"/>
    </w:rPr>
  </w:style>
  <w:style w:type="paragraph" w:styleId="EnvelopeAddress">
    <w:name w:val="envelope address"/>
    <w:basedOn w:val="Normal"/>
    <w:pPr>
      <w:ind w:hanging="0" w:start="288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CWTMemo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2000-05-17T14:22:00Z</dcterms:created>
  <dc:creator>MIS Department</dc:creator>
  <dc:description>CWTMemo for March rollout</dc:description>
  <dc:language>en-CA</dc:language>
  <cp:lastModifiedBy>smester</cp:lastModifiedBy>
  <cp:lastPrinted>2000-05-17T12:51:00Z</cp:lastPrinted>
  <dcterms:modified xsi:type="dcterms:W3CDTF">2000-05-17T14:22:00Z</dcterms:modified>
  <cp:revision>2</cp:revision>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CWTMemo</vt:lpwstr>
  </property>
  <property fmtid="{D5CDD505-2E9C-101B-9397-08002B2CF9AE}" pid="3" name="DirectDial">
    <vt:lpwstr>(212) 504-6968</vt:lpwstr>
  </property>
  <property fmtid="{D5CDD505-2E9C-101B-9397-08002B2CF9AE}" pid="4" name="DirectFax">
    <vt:lpwstr>(212) 504-5608</vt:lpwstr>
  </property>
  <property fmtid="{D5CDD505-2E9C-101B-9397-08002B2CF9AE}" pid="5" name="EMail">
    <vt:lpwstr>@cwt.com</vt:lpwstr>
  </property>
  <property fmtid="{D5CDD505-2E9C-101B-9397-08002B2CF9AE}" pid="6" name="PCDOCS ID Info">
    <vt:lpwstr>CWT\{PCDOCS Library}\{filename}</vt:lpwstr>
  </property>
  <property fmtid="{D5CDD505-2E9C-101B-9397-08002B2CF9AE}" pid="7" name="PCDOCS ID Long">
    <vt:lpwstr>CWT\NYLIB2\113441.2</vt:lpwstr>
  </property>
  <property fmtid="{D5CDD505-2E9C-101B-9397-08002B2CF9AE}" pid="8" name="PCDOCS ID Short">
    <vt:lpwstr>113441.2</vt:lpwstr>
  </property>
  <property fmtid="{D5CDD505-2E9C-101B-9397-08002B2CF9AE}" pid="9" name="Sender">
    <vt:lpwstr>Scott E. Eckas</vt:lpwstr>
  </property>
  <property fmtid="{D5CDD505-2E9C-101B-9397-08002B2CF9AE}" pid="10" name="VersionDate">
    <vt:lpwstr>4/1/99</vt:lpwstr>
  </property>
</Properties>
</file>