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tabs>
          <w:tab w:val="clear" w:pos="720"/>
          <w:tab w:val="left" w:pos="5760" w:leader="none"/>
          <w:tab w:val="left" w:pos="6480" w:leader="none"/>
        </w:tabs>
        <w:ind w:hanging="0" w:start="0"/>
        <w:jc w:val="center"/>
        <w:rPr>
          <w:rFonts w:ascii="Arial" w:hAnsi="Arial" w:cs="Arial"/>
        </w:rPr>
      </w:pPr>
      <w:r>
        <w:rPr>
          <w:rFonts w:cs="Arial" w:ascii="Arial" w:hAnsi="Arial"/>
        </w:rPr>
      </w:r>
    </w:p>
    <w:p>
      <w:pPr>
        <w:pStyle w:val="Heading1"/>
        <w:ind w:hanging="0" w:start="0"/>
        <w:rPr>
          <w:rFonts w:ascii="Arial" w:hAnsi="Arial" w:cs="Arial"/>
          <w:sz w:val="20"/>
        </w:rPr>
      </w:pPr>
      <w:r>
        <w:rPr>
          <w:rFonts w:cs="Arial" w:ascii="Arial" w:hAnsi="Arial"/>
          <w:sz w:val="20"/>
          <w:u w:val="none"/>
        </w:rPr>
        <w:t>ENRON NORTH AMERICA CORP.  GENERAL TERMS AND CONDITIONS</w:t>
      </w:r>
    </w:p>
    <w:p>
      <w:pPr>
        <w:pStyle w:val="Normal"/>
        <w:jc w:val="center"/>
        <w:rPr>
          <w:b/>
          <w:color w:val="000000"/>
          <w:sz w:val="20"/>
        </w:rPr>
      </w:pPr>
      <w:r>
        <w:rPr>
          <w:rFonts w:cs="Arial" w:ascii="Arial" w:hAnsi="Arial"/>
          <w:b/>
          <w:sz w:val="20"/>
        </w:rPr>
        <w:t>FOR PULP, PAPER AND/OR WOOD PRODUCTS</w:t>
      </w:r>
    </w:p>
    <w:p>
      <w:pPr>
        <w:pStyle w:val="Normal"/>
        <w:rPr>
          <w:b/>
          <w:color w:val="000000"/>
          <w:sz w:val="20"/>
        </w:rPr>
      </w:pPr>
      <w:r>
        <w:rPr>
          <w:b/>
          <w:color w:val="000000"/>
          <w:sz w:val="20"/>
        </w:rPr>
      </w:r>
    </w:p>
    <w:p>
      <w:pPr>
        <w:pStyle w:val="Normal"/>
        <w:tabs>
          <w:tab w:val="clear" w:pos="720"/>
          <w:tab w:val="left" w:pos="-720" w:leader="none"/>
        </w:tabs>
        <w:suppressAutoHyphens w:val="true"/>
        <w:spacing w:lineRule="auto" w:line="185" w:before="120" w:after="0"/>
        <w:jc w:val="both"/>
        <w:rPr/>
      </w:pPr>
      <w:r>
        <w:rPr>
          <w:b/>
          <w:color w:val="000000"/>
          <w:sz w:val="20"/>
        </w:rPr>
        <w:t>1.</w:t>
      </w:r>
      <w:r>
        <w:rPr>
          <w:color w:val="000000"/>
          <w:sz w:val="20"/>
        </w:rPr>
        <w:t xml:space="preserve">  </w:t>
      </w:r>
      <w:r>
        <w:rPr>
          <w:b/>
          <w:color w:val="000000"/>
          <w:sz w:val="20"/>
          <w:u w:val="single"/>
        </w:rPr>
        <w:t>PAYMENT</w:t>
      </w:r>
      <w:r>
        <w:rPr>
          <w:color w:val="000000"/>
          <w:sz w:val="20"/>
        </w:rPr>
        <w:t xml:space="preserve">.  The Price specified herein shall be paid in United States funds.  Overdue payments shall accrue interest from the due date at the rate of two percent over the prime lending rate as published from time to time in the </w:t>
      </w:r>
      <w:r>
        <w:rPr>
          <w:i/>
          <w:color w:val="000000"/>
          <w:sz w:val="20"/>
        </w:rPr>
        <w:t>Wall Street Journal</w:t>
      </w:r>
      <w:r>
        <w:rPr>
          <w:color w:val="000000"/>
          <w:sz w:val="20"/>
        </w:rPr>
        <w:t>, but in no event to exceed the maximum lawful rate.</w:t>
      </w:r>
    </w:p>
    <w:p>
      <w:pPr>
        <w:pStyle w:val="Normal"/>
        <w:tabs>
          <w:tab w:val="clear" w:pos="720"/>
          <w:tab w:val="left" w:pos="-720" w:leader="none"/>
        </w:tabs>
        <w:suppressAutoHyphens w:val="true"/>
        <w:spacing w:lineRule="auto" w:line="185" w:before="120" w:after="0"/>
        <w:jc w:val="both"/>
        <w:rPr/>
      </w:pPr>
      <w:r>
        <w:rPr>
          <w:b/>
          <w:color w:val="000000"/>
          <w:sz w:val="20"/>
        </w:rPr>
        <w:t xml:space="preserve">2.  </w:t>
      </w:r>
      <w:r>
        <w:rPr>
          <w:b/>
          <w:color w:val="000000"/>
          <w:sz w:val="20"/>
          <w:u w:val="single"/>
        </w:rPr>
        <w:t>LIMITATION ON WARRANTY</w:t>
      </w:r>
      <w:r>
        <w:rPr>
          <w:color w:val="000000"/>
          <w:sz w:val="20"/>
        </w:rPr>
        <w:t>.  EXCEPT AS EXPRESSLY SET FORTH HEREIN, SELLER EXPRESSLY DISCLAIMS ANY OTHER REPRESENTATIONS OR WARRANTIES, WRITTEN OR ORAL, EXPRESS OR IMPLIED, INCLUDING, WITHOUT LIMITATION, ANY WARRANTY WITH RESPECT TO MERCHANTABILITY OR FITNESS FOR ANY PARTICULAR PURPOSE.</w:t>
      </w:r>
    </w:p>
    <w:p>
      <w:pPr>
        <w:pStyle w:val="Normal"/>
        <w:tabs>
          <w:tab w:val="clear" w:pos="720"/>
          <w:tab w:val="left" w:pos="-720" w:leader="none"/>
        </w:tabs>
        <w:suppressAutoHyphens w:val="true"/>
        <w:spacing w:lineRule="auto" w:line="185" w:before="120" w:after="0"/>
        <w:jc w:val="both"/>
        <w:rPr/>
      </w:pPr>
      <w:r>
        <w:rPr>
          <w:b/>
          <w:color w:val="000000"/>
          <w:sz w:val="20"/>
        </w:rPr>
        <w:t xml:space="preserve">3.  </w:t>
      </w:r>
      <w:r>
        <w:rPr>
          <w:b/>
          <w:color w:val="000000"/>
          <w:sz w:val="20"/>
          <w:u w:val="single"/>
        </w:rPr>
        <w:t>FORCE MAJEURE</w:t>
      </w:r>
      <w:r>
        <w:rPr>
          <w:color w:val="000000"/>
          <w:sz w:val="20"/>
        </w:rPr>
        <w:t>.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w:t>
      </w:r>
      <w:r>
        <w:rPr>
          <w:color w:val="000000"/>
          <w:sz w:val="20"/>
          <w:u w:val="single"/>
        </w:rPr>
        <w:t>Force Majeure</w:t>
      </w:r>
      <w:r>
        <w:rPr>
          <w:color w:val="000000"/>
          <w:sz w:val="20"/>
        </w:rPr>
        <w:t xml:space="preserv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commercially reasonable substitute therefor.  </w:t>
      </w:r>
    </w:p>
    <w:p>
      <w:pPr>
        <w:pStyle w:val="Normal"/>
        <w:tabs>
          <w:tab w:val="clear" w:pos="720"/>
          <w:tab w:val="left" w:pos="-720" w:leader="none"/>
        </w:tabs>
        <w:suppressAutoHyphens w:val="true"/>
        <w:spacing w:lineRule="auto" w:line="185" w:before="120" w:after="0"/>
        <w:jc w:val="both"/>
        <w:rPr>
          <w:color w:val="000000"/>
          <w:sz w:val="20"/>
        </w:rPr>
      </w:pPr>
      <w:r>
        <w:rPr>
          <w:color w:val="000000"/>
          <w:sz w:val="20"/>
        </w:rPr>
        <w:t>The parties hereto agree that if, as a result of a Force Majeure event, the affected party is unable to meet all of its obligations under this Agreement and any other Commodity sales agreement which Seller has entered into with, or Buyer has entered into with respect to supply of the Commodity to Buyer's destination, then any reductions in Seller's deliveries or Buyer's purchases (as applicable) under all such agreements shall be allocated on a pro rata basis.  The affected Party shall provide suitable proof to the other Party to substantiate any claim or allocation made under this section.</w:t>
      </w:r>
    </w:p>
    <w:p>
      <w:pPr>
        <w:pStyle w:val="Normal"/>
        <w:tabs>
          <w:tab w:val="clear" w:pos="720"/>
          <w:tab w:val="left" w:pos="-720" w:leader="none"/>
        </w:tabs>
        <w:suppressAutoHyphens w:val="true"/>
        <w:spacing w:lineRule="auto" w:line="185" w:before="120" w:after="0"/>
        <w:jc w:val="both"/>
        <w:rPr>
          <w:b/>
          <w:color w:val="000000"/>
          <w:sz w:val="20"/>
        </w:rPr>
      </w:pPr>
      <w:r>
        <w:rPr>
          <w:b/>
          <w:color w:val="000000"/>
          <w:sz w:val="20"/>
        </w:rPr>
        <w:t xml:space="preserve">4.  </w:t>
      </w:r>
      <w:r>
        <w:rPr>
          <w:b/>
          <w:color w:val="000000"/>
          <w:sz w:val="20"/>
          <w:u w:val="single"/>
        </w:rPr>
        <w:t>DAMAGES</w:t>
      </w:r>
      <w:r>
        <w:rPr>
          <w:color w:val="000000"/>
          <w:sz w:val="20"/>
        </w:rPr>
        <w:t xml:space="preserve">.  </w:t>
      </w:r>
    </w:p>
    <w:p>
      <w:pPr>
        <w:pStyle w:val="Normal"/>
        <w:tabs>
          <w:tab w:val="clear" w:pos="720"/>
          <w:tab w:val="left" w:pos="-720" w:leader="none"/>
        </w:tabs>
        <w:suppressAutoHyphens w:val="true"/>
        <w:spacing w:lineRule="auto" w:line="185" w:before="120" w:after="0"/>
        <w:jc w:val="both"/>
        <w:rPr/>
      </w:pPr>
      <w:r>
        <w:rPr>
          <w:b/>
          <w:color w:val="000000"/>
          <w:sz w:val="20"/>
        </w:rPr>
        <w:tab/>
        <w:t>(a)</w:t>
      </w:r>
      <w:r>
        <w:rPr>
          <w:color w:val="000000"/>
          <w:sz w:val="20"/>
        </w:rPr>
        <w:t xml:space="preserve"> Unless excused by Force Majeure or Buyer's failure to perform, if Seller fails to deliver all or part of the quantity of the Commodity to be delivered hereunder, Seller shall pay Buyer for each unit of measure of such deficiency (the "</w:t>
      </w:r>
      <w:r>
        <w:rPr>
          <w:color w:val="000000"/>
          <w:sz w:val="20"/>
          <w:u w:val="single"/>
        </w:rPr>
        <w:t>Deficiency</w:t>
      </w:r>
      <w:r>
        <w:rPr>
          <w:color w:val="000000"/>
          <w:sz w:val="20"/>
        </w:rPr>
        <w:t>") an amount equal to the positive difference, if any, obtained by subtracting the Price for the Deficiency from the Replacement Price.  "</w:t>
      </w:r>
      <w:r>
        <w:rPr>
          <w:color w:val="000000"/>
          <w:sz w:val="20"/>
          <w:u w:val="single"/>
        </w:rPr>
        <w:t>Replacement Price</w:t>
      </w:r>
      <w:r>
        <w:rPr>
          <w:color w:val="000000"/>
          <w:sz w:val="20"/>
        </w:rPr>
        <w:t>" means the price at which Buyer, acting in a commercially reasonable manner, purchases substitute Commodity for the Deficiency (plus additional transportation charges, if any, incurred by Buyer as a result of taking delivery of substitute Commodity at a location other than the Delivery Point) or, absent such a purchase, the market price for such quantity of the Commodity F.O.B. (or CIF, if applicable) the Delivery Point, as determined by Buyer in a commercially reasonable manner; provided, however, in no event shall the Replacement Price include any penalties or similar charges.  It is expressly agreed that Buyer shall not be required to enter into a replacement transaction in order to determine the Replacement Price.</w:t>
      </w:r>
    </w:p>
    <w:p>
      <w:pPr>
        <w:pStyle w:val="Normal"/>
        <w:tabs>
          <w:tab w:val="clear" w:pos="720"/>
          <w:tab w:val="left" w:pos="-720" w:leader="none"/>
        </w:tabs>
        <w:suppressAutoHyphens w:val="true"/>
        <w:spacing w:lineRule="auto" w:line="185" w:before="120" w:after="0"/>
        <w:jc w:val="both"/>
        <w:rPr/>
      </w:pPr>
      <w:r>
        <w:rPr>
          <w:b/>
          <w:color w:val="000000"/>
          <w:sz w:val="20"/>
        </w:rPr>
        <w:tab/>
        <w:t xml:space="preserve">(b) </w:t>
      </w:r>
      <w:r>
        <w:rPr>
          <w:color w:val="000000"/>
          <w:sz w:val="20"/>
        </w:rPr>
        <w:t>Unless excused by Force Majeure or Seller's failure to perform, if Buyer fails to accept all or any part of the quantity of the Commodity to be delivered hereunder, Buyer shall pay Seller for each unit of measure of the Deficiency an amount equal to the positive difference, if any, obtained by subtracting the Sales Price from the Price. "</w:t>
      </w:r>
      <w:r>
        <w:rPr>
          <w:color w:val="000000"/>
          <w:sz w:val="20"/>
          <w:u w:val="single"/>
        </w:rPr>
        <w:t>Sales Price</w:t>
      </w:r>
      <w:r>
        <w:rPr>
          <w:color w:val="000000"/>
          <w:sz w:val="20"/>
        </w:rPr>
        <w:t>" means the price at which Seller, acting in a commercially reasonable manner, resells (if at all) the Deficiency (including additional transportation charges, if any, incurred by Seller as a result of delivering the Commodity at a location other than the Delivery Point) or, absent such a sale, the market price for such quantity of the Commodity F.O.B. (or CIF, if applicable) the Delivery Point, as determined by Seller in a commercially reasonable manner; provided, however, in no event shall the Sales Price include any penalties or similar charges.  It is expressly agreed that Seller shall not be required to enter into a replacement transaction in order to determine the Sales Price.</w:t>
      </w:r>
    </w:p>
    <w:p>
      <w:pPr>
        <w:pStyle w:val="Normal"/>
        <w:tabs>
          <w:tab w:val="clear" w:pos="720"/>
          <w:tab w:val="left" w:pos="-720" w:leader="none"/>
        </w:tabs>
        <w:suppressAutoHyphens w:val="true"/>
        <w:spacing w:lineRule="auto" w:line="185" w:before="120" w:after="0"/>
        <w:jc w:val="both"/>
        <w:rPr/>
      </w:pPr>
      <w:r>
        <w:rPr>
          <w:b/>
          <w:color w:val="000000"/>
          <w:sz w:val="20"/>
        </w:rPr>
        <w:tab/>
        <w:t>(c)</w:t>
      </w:r>
      <w:r>
        <w:rPr>
          <w:color w:val="000000"/>
          <w:sz w:val="20"/>
        </w:rPr>
        <w:t xml:space="preserve"> Each party hereby stipulates that the payment obligations set forth in this paragraph 4 are reasonable in light of the anticipated harm and the difficulty of estimation or calculation of actual damages and each party hereby waives the right to contest such payments as an unreasonable penalty or otherwise.  The remedy set forth in this paragraph 4 shall be the sole and exclusive remedy of the aggrieved party for the failure of the other to deliver or accept, as the case may be, the quantity of the Commodity specified herein, and all other damages and remedies are hereby waived as to such failure(s), except as set forth in paragraph 5, below.</w:t>
      </w:r>
    </w:p>
    <w:p>
      <w:pPr>
        <w:pStyle w:val="Normal"/>
        <w:tabs>
          <w:tab w:val="clear" w:pos="720"/>
          <w:tab w:val="left" w:pos="-720" w:leader="none"/>
        </w:tabs>
        <w:suppressAutoHyphens w:val="true"/>
        <w:spacing w:lineRule="auto" w:line="185" w:before="120" w:after="0"/>
        <w:jc w:val="both"/>
        <w:rPr/>
      </w:pPr>
      <w:r>
        <w:rPr>
          <w:b/>
          <w:color w:val="000000"/>
          <w:sz w:val="20"/>
        </w:rPr>
        <w:t xml:space="preserve">5.  </w:t>
      </w:r>
      <w:r>
        <w:rPr>
          <w:b/>
          <w:color w:val="000000"/>
          <w:sz w:val="20"/>
          <w:u w:val="single"/>
        </w:rPr>
        <w:t>LIMITATION ON LIABILITY</w:t>
      </w:r>
      <w:r>
        <w:rPr>
          <w:color w:val="000000"/>
          <w:sz w:val="20"/>
        </w:rPr>
        <w:t>.  Except as otherwise provided, herein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lineRule="auto" w:line="185" w:before="120" w:after="0"/>
        <w:jc w:val="both"/>
        <w:rPr>
          <w:b/>
          <w:color w:val="000000"/>
          <w:sz w:val="20"/>
        </w:rPr>
      </w:pPr>
      <w:r>
        <w:rPr>
          <w:b/>
          <w:color w:val="000000"/>
          <w:sz w:val="20"/>
        </w:rPr>
        <w:t xml:space="preserve">6.  </w:t>
      </w:r>
      <w:r>
        <w:rPr>
          <w:b/>
          <w:color w:val="000000"/>
          <w:sz w:val="20"/>
          <w:u w:val="single"/>
        </w:rPr>
        <w:t>TITLE/RISK OF LOSS</w:t>
      </w:r>
      <w:r>
        <w:rPr>
          <w:color w:val="000000"/>
          <w:sz w:val="20"/>
        </w:rPr>
        <w:t>.  Seller warrants good title to all the Commodity delivered hereunder, free and clear of all claims and encumbrances.  The Commodity delivered hereunder conforms to specifications.  Title and risk of loss shall pass to Buyer upon delivery at the Delivery Point.</w:t>
      </w:r>
    </w:p>
    <w:p>
      <w:pPr>
        <w:pStyle w:val="Normal"/>
        <w:tabs>
          <w:tab w:val="clear" w:pos="720"/>
          <w:tab w:val="left" w:pos="-720" w:leader="none"/>
        </w:tabs>
        <w:suppressAutoHyphens w:val="true"/>
        <w:spacing w:lineRule="auto" w:line="185" w:before="120" w:after="0"/>
        <w:jc w:val="both"/>
        <w:rPr/>
      </w:pPr>
      <w:r>
        <w:rPr>
          <w:b/>
          <w:color w:val="000000"/>
          <w:sz w:val="20"/>
        </w:rPr>
        <w:t xml:space="preserve">7.  </w:t>
      </w:r>
      <w:r>
        <w:rPr>
          <w:b/>
          <w:color w:val="000000"/>
          <w:sz w:val="20"/>
          <w:u w:val="single"/>
        </w:rPr>
        <w:t>ASSIGNMENT</w:t>
      </w:r>
      <w:r>
        <w:rPr>
          <w:color w:val="000000"/>
          <w:sz w:val="20"/>
        </w:rPr>
        <w:t>.  Neither party shall assign this Agreement without the prior written consent of the other, which consent may not be unreasonably withheld or delayed.</w:t>
      </w:r>
    </w:p>
    <w:p>
      <w:pPr>
        <w:pStyle w:val="Normal"/>
        <w:tabs>
          <w:tab w:val="clear" w:pos="720"/>
          <w:tab w:val="left" w:pos="-720" w:leader="none"/>
        </w:tabs>
        <w:suppressAutoHyphens w:val="true"/>
        <w:spacing w:lineRule="auto" w:line="185" w:before="120" w:after="0"/>
        <w:jc w:val="both"/>
        <w:rPr/>
      </w:pPr>
      <w:r>
        <w:rPr>
          <w:b/>
          <w:color w:val="000000"/>
          <w:sz w:val="20"/>
        </w:rPr>
        <w:t xml:space="preserve">8.  </w:t>
      </w:r>
      <w:r>
        <w:rPr>
          <w:b/>
          <w:color w:val="000000"/>
          <w:sz w:val="20"/>
          <w:u w:val="single"/>
        </w:rPr>
        <w:t>ENTIRE AGREEMENT</w:t>
      </w:r>
      <w:r>
        <w:rPr>
          <w:color w:val="000000"/>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lineRule="auto" w:line="185" w:before="120" w:after="0"/>
        <w:jc w:val="both"/>
        <w:rPr/>
      </w:pPr>
      <w:r>
        <w:rPr>
          <w:b/>
          <w:color w:val="000000"/>
          <w:sz w:val="20"/>
        </w:rPr>
        <w:t xml:space="preserve">9.  </w:t>
      </w:r>
      <w:r>
        <w:rPr>
          <w:b/>
          <w:color w:val="000000"/>
          <w:sz w:val="20"/>
          <w:u w:val="single"/>
        </w:rPr>
        <w:t>NO WAIVER</w:t>
      </w:r>
      <w:r>
        <w:rPr>
          <w:color w:val="000000"/>
          <w:sz w:val="20"/>
        </w:rPr>
        <w:t>.  Waiver of any breach of this Agreement shall not be construed as a waiver of any other breach.</w:t>
      </w:r>
    </w:p>
    <w:p>
      <w:pPr>
        <w:pStyle w:val="Normal"/>
        <w:tabs>
          <w:tab w:val="clear" w:pos="720"/>
          <w:tab w:val="left" w:pos="-720" w:leader="none"/>
        </w:tabs>
        <w:suppressAutoHyphens w:val="true"/>
        <w:spacing w:lineRule="auto" w:line="185" w:before="120" w:after="0"/>
        <w:jc w:val="both"/>
        <w:rPr/>
      </w:pPr>
      <w:r>
        <w:rPr>
          <w:b/>
          <w:color w:val="000000"/>
          <w:sz w:val="20"/>
        </w:rPr>
        <w:t xml:space="preserve">10.  </w:t>
      </w:r>
      <w:r>
        <w:rPr>
          <w:b/>
          <w:color w:val="000000"/>
          <w:sz w:val="20"/>
          <w:u w:val="single"/>
        </w:rPr>
        <w:t>GOVERNING LAW</w:t>
      </w:r>
      <w:r>
        <w:rPr>
          <w:color w:val="000000"/>
          <w:sz w:val="20"/>
        </w:rPr>
        <w:t>.  This Agreement shall be construed and governed by the laws of the state of New York, including, without limitation, the Uniform Commercial Code, without giving effect to principles of conflicts of law.  This transaction is enforceable as a "qualified financial contract" written in the meaning of New York Obligations Law §5-701 (b).</w:t>
      </w:r>
    </w:p>
    <w:p>
      <w:pPr>
        <w:pStyle w:val="Normal"/>
        <w:tabs>
          <w:tab w:val="clear" w:pos="720"/>
          <w:tab w:val="left" w:pos="-720" w:leader="none"/>
        </w:tabs>
        <w:suppressAutoHyphens w:val="true"/>
        <w:spacing w:lineRule="auto" w:line="185" w:before="120" w:after="0"/>
        <w:jc w:val="both"/>
        <w:rPr/>
      </w:pPr>
      <w:r>
        <w:rPr>
          <w:b/>
          <w:color w:val="000000"/>
          <w:sz w:val="20"/>
        </w:rPr>
        <w:t xml:space="preserve">11.  </w:t>
      </w:r>
      <w:r>
        <w:rPr>
          <w:b/>
          <w:color w:val="000000"/>
          <w:sz w:val="20"/>
          <w:u w:val="single"/>
        </w:rPr>
        <w:t>CONFIDENTIALITY</w:t>
      </w:r>
      <w:r>
        <w:rPr>
          <w:color w:val="000000"/>
          <w:sz w:val="20"/>
        </w:rPr>
        <w:t>.  Each party acknowledges that this Agreement contains confidential information, which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tabs>
          <w:tab w:val="clear" w:pos="720"/>
          <w:tab w:val="left" w:pos="-720" w:leader="none"/>
          <w:tab w:val="left" w:pos="450" w:leader="none"/>
          <w:tab w:val="left" w:pos="900" w:leader="none"/>
        </w:tabs>
        <w:spacing w:lineRule="auto" w:line="185" w:before="120" w:after="0"/>
        <w:ind w:end="58"/>
        <w:jc w:val="both"/>
        <w:rPr/>
      </w:pPr>
      <w:r>
        <w:rPr>
          <w:b/>
          <w:color w:val="000000"/>
          <w:sz w:val="20"/>
        </w:rPr>
        <w:t xml:space="preserve">12.  </w:t>
      </w:r>
      <w:r>
        <w:rPr>
          <w:b/>
          <w:color w:val="000000"/>
          <w:sz w:val="20"/>
          <w:u w:val="single"/>
        </w:rPr>
        <w:t>TERMINATION FOR DEFAULT</w:t>
      </w:r>
      <w:r>
        <w:rPr>
          <w:color w:val="000000"/>
          <w:sz w:val="20"/>
        </w:rPr>
        <w:t>. Either party may terminate this Agreement if the other party fails to perform any of its material obligations hereunder, if such failure is not cured within five business days after receipt of written notice thereof by the defaulting party.  In addition, if an Event of Default occurs with respect to a party, the unaffected party may terminate this Agreement on five days written notice thereof.  "Event of Default" shall mean with respect to a party ("</w:t>
      </w:r>
      <w:r>
        <w:rPr>
          <w:color w:val="000000"/>
          <w:sz w:val="20"/>
          <w:u w:val="single"/>
        </w:rPr>
        <w:t>Defaulting Party</w:t>
      </w:r>
      <w:r>
        <w:rPr>
          <w:color w:val="000000"/>
          <w:sz w:val="20"/>
        </w:rPr>
        <w:t>"): (i) the failure by the Defaulting Party to make, when due, any payment required pursuant to this Agreement if such failure is not remedied within five (5) business days after written notice of such failure is given to the Defaulting Party by the other party ("</w:t>
      </w:r>
      <w:r>
        <w:rPr>
          <w:color w:val="000000"/>
          <w:sz w:val="20"/>
          <w:u w:val="single"/>
        </w:rPr>
        <w:t>Non-Defaulting Party</w:t>
      </w:r>
      <w:r>
        <w:rPr>
          <w:color w:val="000000"/>
          <w:sz w:val="20"/>
        </w:rPr>
        <w:t>") or (ii) any representation or warranty made by the Defaulting Party herein shall at any time prove to be false or misleading in any material respect of (iii) the failure by the Defaulting Party to perform any covenant set forth this Agreement or (iv) the Defaulting Party shall be subject to a bankruptcy proceeding, otherwise become bankrupt or insolvent (however evidenced), or be unable to pay its debts as they fall due. In the event of a termination of the Agreement, the Non-Defaulting Party shall calculate its damages, including its associated costs and attorneys' fees, resulting from the termination (the "</w:t>
      </w:r>
      <w:r>
        <w:rPr>
          <w:color w:val="000000"/>
          <w:sz w:val="20"/>
          <w:u w:val="single"/>
        </w:rPr>
        <w:t>Termination Payment</w:t>
      </w:r>
      <w:r>
        <w:rPr>
          <w:color w:val="000000"/>
          <w:sz w:val="20"/>
        </w:rPr>
        <w:t>").  The Termination Payment will be determined by comparing the value of (a) the remaining Delivery Period, Quantity and Price under the Agreement had it not been terminated to (b) the equivalent quantities and relevant market prices for the remaining Delivery Period either quoted by a bona fide third party offer or which are reasonably expected to be available in the market under a replacement contract and (ii) ascertaining the associated costs and attorneys' fees.</w:t>
      </w:r>
    </w:p>
    <w:p>
      <w:pPr>
        <w:pStyle w:val="Normal"/>
        <w:tabs>
          <w:tab w:val="clear" w:pos="720"/>
          <w:tab w:val="left" w:pos="-720" w:leader="none"/>
          <w:tab w:val="left" w:pos="450" w:leader="none"/>
          <w:tab w:val="left" w:pos="900" w:leader="none"/>
        </w:tabs>
        <w:spacing w:lineRule="auto" w:line="185" w:before="120" w:after="0"/>
        <w:ind w:end="58"/>
        <w:jc w:val="both"/>
        <w:rPr/>
      </w:pPr>
      <w:r>
        <w:rPr>
          <w:b/>
          <w:color w:val="000000"/>
          <w:sz w:val="20"/>
        </w:rPr>
        <w:t xml:space="preserve">13.  </w:t>
      </w:r>
      <w:r>
        <w:rPr>
          <w:b/>
          <w:color w:val="000000"/>
          <w:sz w:val="20"/>
          <w:u w:val="single"/>
        </w:rPr>
        <w:t>SETOFF</w:t>
      </w:r>
      <w:r>
        <w:rPr>
          <w:color w:val="000000"/>
          <w:sz w:val="20"/>
        </w:rPr>
        <w:t>.  Each party reserves all rights of setoff which such party has or to which it may be entitled.</w:t>
      </w:r>
    </w:p>
    <w:p>
      <w:pPr>
        <w:pStyle w:val="Normal"/>
        <w:tabs>
          <w:tab w:val="clear" w:pos="720"/>
          <w:tab w:val="left" w:pos="-720" w:leader="none"/>
        </w:tabs>
        <w:suppressAutoHyphens w:val="true"/>
        <w:spacing w:lineRule="auto" w:line="185" w:before="120" w:after="0"/>
        <w:jc w:val="both"/>
        <w:rPr/>
      </w:pPr>
      <w:r>
        <w:rPr>
          <w:b/>
          <w:color w:val="000000"/>
          <w:sz w:val="20"/>
        </w:rPr>
        <w:t xml:space="preserve">14.  </w:t>
      </w:r>
      <w:r>
        <w:rPr>
          <w:b/>
          <w:color w:val="000000"/>
          <w:sz w:val="20"/>
          <w:u w:val="single"/>
        </w:rPr>
        <w:t>NOTICES</w:t>
      </w:r>
      <w:r>
        <w:rPr>
          <w:color w:val="000000"/>
          <w:sz w:val="20"/>
        </w:rPr>
        <w:t>.  Notices under this Agreement shall be in writing and shall be effective when received at the address shown on the first page of this Agreement.</w:t>
      </w:r>
    </w:p>
    <w:p>
      <w:pPr>
        <w:pStyle w:val="Normal"/>
        <w:tabs>
          <w:tab w:val="clear" w:pos="720"/>
          <w:tab w:val="left" w:pos="-720" w:leader="none"/>
        </w:tabs>
        <w:suppressAutoHyphens w:val="true"/>
        <w:spacing w:lineRule="auto" w:line="185" w:before="120" w:after="0"/>
        <w:jc w:val="both"/>
        <w:rPr/>
      </w:pPr>
      <w:r>
        <w:rPr>
          <w:b/>
          <w:color w:val="000000"/>
          <w:sz w:val="20"/>
        </w:rPr>
        <w:t xml:space="preserve">15.  </w:t>
      </w:r>
      <w:r>
        <w:rPr>
          <w:b/>
          <w:color w:val="000000"/>
          <w:sz w:val="20"/>
          <w:u w:val="single"/>
        </w:rPr>
        <w:t>CREDIT</w:t>
      </w:r>
      <w:r>
        <w:rPr>
          <w:b/>
          <w:color w:val="000000"/>
          <w:sz w:val="20"/>
        </w:rPr>
        <w:t xml:space="preserve">.  </w:t>
      </w:r>
      <w:r>
        <w:rPr>
          <w:color w:val="000000"/>
          <w:sz w:val="20"/>
        </w:rPr>
        <w:t xml:space="preserve">If Enron North America Corp. (“ENA”) is the Seller, and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 performance. </w:t>
      </w:r>
    </w:p>
    <w:p>
      <w:pPr>
        <w:pStyle w:val="Normal"/>
        <w:tabs>
          <w:tab w:val="clear" w:pos="720"/>
          <w:tab w:val="left" w:pos="-720" w:leader="none"/>
        </w:tabs>
        <w:suppressAutoHyphens w:val="true"/>
        <w:spacing w:lineRule="auto" w:line="185" w:before="120" w:after="0"/>
        <w:jc w:val="both"/>
        <w:rPr/>
      </w:pPr>
      <w:r>
        <w:rPr>
          <w:b/>
          <w:color w:val="000000"/>
          <w:sz w:val="20"/>
        </w:rPr>
        <w:t xml:space="preserve">16.  </w:t>
      </w:r>
      <w:r>
        <w:rPr>
          <w:b/>
          <w:color w:val="000000"/>
          <w:sz w:val="20"/>
          <w:u w:val="single"/>
        </w:rPr>
        <w:t>CONFIRMATION.</w:t>
      </w:r>
      <w:r>
        <w:rPr>
          <w:b/>
          <w:color w:val="000000"/>
          <w:sz w:val="20"/>
        </w:rPr>
        <w:t xml:space="preserve">  </w:t>
      </w:r>
      <w:r>
        <w:rPr>
          <w:color w:val="000000"/>
          <w:sz w:val="20"/>
        </w:rPr>
        <w:t>Upon each Transaction entered between ENA and Counterparty, ENA will issue a Confirmation (“Confirmation”) documenting the Transaction.  If Counterparty does not return the Confirmation or otherwise object to the accuracy of the Confirmation by written notice to ENA within three (3) Business Days of receipt of the Confirmation, the Confirmation shall be deemed correct as given, conclusive and binding evidence of the Transaction entered into by the Parties, and the final expression of the Transaction’s terms.</w:t>
      </w:r>
    </w:p>
    <w:p>
      <w:pPr>
        <w:pStyle w:val="Normal"/>
        <w:tabs>
          <w:tab w:val="clear" w:pos="720"/>
          <w:tab w:val="left" w:pos="-720" w:leader="none"/>
        </w:tabs>
        <w:suppressAutoHyphens w:val="true"/>
        <w:spacing w:lineRule="auto" w:line="185" w:before="120" w:after="0"/>
        <w:jc w:val="both"/>
        <w:rPr>
          <w:color w:val="000000"/>
          <w:sz w:val="20"/>
        </w:rPr>
      </w:pPr>
      <w:r>
        <w:rPr>
          <w:color w:val="000000"/>
          <w:sz w:val="20"/>
        </w:rPr>
        <w:t>The following Parties agree the above General Terms and Conditions shall be applicable to all Pulp, Paper and/or Wood Products Agreements in which ENA is the seller or buyer of Products after the date hereof, unless otherwise agreed to by ENA in writing.</w:t>
      </w:r>
    </w:p>
    <w:p>
      <w:pPr>
        <w:pStyle w:val="Normal"/>
        <w:tabs>
          <w:tab w:val="clear" w:pos="720"/>
          <w:tab w:val="left" w:pos="-720" w:leader="none"/>
        </w:tabs>
        <w:suppressAutoHyphens w:val="true"/>
        <w:spacing w:lineRule="auto" w:line="185" w:before="120" w:after="0"/>
        <w:jc w:val="both"/>
        <w:rPr>
          <w:color w:val="000000"/>
          <w:sz w:val="20"/>
        </w:rPr>
      </w:pPr>
      <w:r>
        <w:rPr>
          <w:color w:val="000000"/>
          <w:sz w:val="20"/>
        </w:rPr>
      </w:r>
    </w:p>
    <w:p>
      <w:pPr>
        <w:pStyle w:val="Normal"/>
        <w:tabs>
          <w:tab w:val="clear" w:pos="720"/>
          <w:tab w:val="left" w:pos="-720" w:leader="none"/>
        </w:tabs>
        <w:suppressAutoHyphens w:val="true"/>
        <w:spacing w:lineRule="auto" w:line="185" w:before="120" w:after="0"/>
        <w:jc w:val="both"/>
        <w:rPr/>
      </w:pPr>
      <w:r>
        <w:rPr>
          <w:b/>
          <w:color w:val="000000"/>
          <w:sz w:val="20"/>
        </w:rPr>
        <w:t>ENRON NORTH AMERICA CORP</w:t>
      </w:r>
      <w:r>
        <w:rPr>
          <w:color w:val="000000"/>
          <w:sz w:val="20"/>
        </w:rPr>
        <w:t>.</w:t>
        <w:tab/>
        <w:tab/>
      </w:r>
      <w:r>
        <w:rPr>
          <w:b/>
          <w:color w:val="000000"/>
          <w:sz w:val="20"/>
        </w:rPr>
        <w:t>COMPANY NAME</w:t>
      </w:r>
      <w:r>
        <w:rPr>
          <w:b/>
          <w:color w:val="000000"/>
          <w:sz w:val="20"/>
          <w:u w:val="thick"/>
        </w:rPr>
        <w:t>____________ ______</w:t>
      </w:r>
    </w:p>
    <w:p>
      <w:pPr>
        <w:pStyle w:val="Normal"/>
        <w:tabs>
          <w:tab w:val="clear" w:pos="720"/>
          <w:tab w:val="left" w:pos="-720" w:leader="none"/>
        </w:tabs>
        <w:suppressAutoHyphens w:val="true"/>
        <w:spacing w:lineRule="auto" w:line="185" w:before="120" w:after="0"/>
        <w:jc w:val="both"/>
        <w:rPr>
          <w:b/>
          <w:color w:val="000000"/>
          <w:sz w:val="20"/>
        </w:rPr>
      </w:pPr>
      <w:r>
        <w:rPr>
          <w:b/>
          <w:color w:val="000000"/>
          <w:sz w:val="20"/>
        </w:rPr>
        <w:t>BY:</w:t>
      </w:r>
      <w:r>
        <w:rPr>
          <w:b/>
          <w:color w:val="000000"/>
          <w:sz w:val="20"/>
          <w:u w:val="thick"/>
        </w:rPr>
        <w:tab/>
        <w:tab/>
        <w:tab/>
        <w:tab/>
        <w:t xml:space="preserve">         </w:t>
      </w:r>
      <w:r>
        <w:rPr>
          <w:b/>
          <w:color w:val="000000"/>
          <w:sz w:val="20"/>
        </w:rPr>
        <w:tab/>
        <w:tab/>
        <w:t>BY:</w:t>
        <w:tab/>
      </w:r>
      <w:r>
        <w:rPr>
          <w:b/>
          <w:color w:val="000000"/>
          <w:sz w:val="20"/>
          <w:u w:val="thick"/>
        </w:rPr>
        <w:tab/>
        <w:tab/>
        <w:t xml:space="preserve"> </w:t>
        <w:tab/>
        <w:t xml:space="preserve">     </w:t>
        <w:tab/>
        <w:t xml:space="preserve">      </w:t>
      </w:r>
    </w:p>
    <w:p>
      <w:pPr>
        <w:pStyle w:val="Normal"/>
        <w:tabs>
          <w:tab w:val="clear" w:pos="720"/>
          <w:tab w:val="left" w:pos="-720" w:leader="none"/>
        </w:tabs>
        <w:suppressAutoHyphens w:val="true"/>
        <w:spacing w:lineRule="auto" w:line="185" w:before="120" w:after="0"/>
        <w:jc w:val="both"/>
        <w:rPr>
          <w:b/>
          <w:color w:val="000000"/>
          <w:sz w:val="20"/>
        </w:rPr>
      </w:pPr>
      <w:r>
        <w:rPr>
          <w:b/>
          <w:color w:val="000000"/>
          <w:sz w:val="20"/>
        </w:rPr>
        <w:t>NAME:</w:t>
      </w:r>
      <w:r>
        <w:rPr>
          <w:b/>
          <w:color w:val="000000"/>
          <w:sz w:val="20"/>
          <w:u w:val="thick"/>
        </w:rPr>
        <w:t xml:space="preserve">       Lynn E. Shivers                  </w:t>
      </w:r>
      <w:r>
        <w:rPr>
          <w:b/>
          <w:color w:val="000000"/>
          <w:sz w:val="20"/>
        </w:rPr>
        <w:tab/>
        <w:tab/>
        <w:t>NAME:</w:t>
      </w:r>
      <w:r>
        <w:rPr>
          <w:b/>
          <w:color w:val="000000"/>
          <w:sz w:val="20"/>
          <w:u w:val="thick"/>
        </w:rPr>
        <w:tab/>
        <w:tab/>
        <w:tab/>
        <w:t xml:space="preserve"> </w:t>
        <w:tab/>
        <w:tab/>
        <w:t xml:space="preserve">      </w:t>
      </w:r>
    </w:p>
    <w:p>
      <w:pPr>
        <w:pStyle w:val="Normal"/>
        <w:tabs>
          <w:tab w:val="clear" w:pos="720"/>
          <w:tab w:val="left" w:pos="-720" w:leader="none"/>
        </w:tabs>
        <w:suppressAutoHyphens w:val="true"/>
        <w:spacing w:lineRule="auto" w:line="185" w:before="120" w:after="0"/>
        <w:jc w:val="both"/>
        <w:rPr/>
      </w:pPr>
      <w:r>
        <w:rPr>
          <w:b/>
          <w:color w:val="000000"/>
          <w:sz w:val="20"/>
        </w:rPr>
        <w:t>TITLE:</w:t>
      </w:r>
      <w:r>
        <w:rPr>
          <w:b/>
          <w:color w:val="000000"/>
          <w:sz w:val="20"/>
          <w:u w:val="thick"/>
        </w:rPr>
        <w:t xml:space="preserve">       Agent &amp; Attorney-in-Fact </w:t>
      </w:r>
      <w:r>
        <w:rPr>
          <w:b/>
          <w:color w:val="000000"/>
          <w:sz w:val="20"/>
        </w:rPr>
        <w:tab/>
        <w:tab/>
        <w:t>TITLE:</w:t>
      </w:r>
      <w:r>
        <w:rPr>
          <w:b/>
          <w:color w:val="000000"/>
          <w:sz w:val="20"/>
          <w:u w:val="thick"/>
        </w:rPr>
        <w:tab/>
        <w:tab/>
        <w:tab/>
        <w:t xml:space="preserve"> </w:t>
        <w:tab/>
        <w:tab/>
        <w:t xml:space="preserve">      </w:t>
      </w:r>
    </w:p>
    <w:sectPr>
      <w:headerReference w:type="default" r:id="rId2"/>
      <w:type w:val="nextPage"/>
      <w:pgSz w:w="12240" w:h="15840"/>
      <w:pgMar w:left="1008" w:right="1440" w:gutter="1440" w:header="907" w:top="1440" w:footer="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jc w:val="end"/>
      <w:rPr>
        <w:b/>
        <w:sz w:val="20"/>
      </w:rPr>
    </w:pPr>
    <w:r>
      <w:rPr>
        <w:b/>
        <w:sz w:val="20"/>
      </w:rPr>
      <w:t xml:space="preserve">                                                                                                                            </w:t>
    </w:r>
    <w:r>
      <w:rPr>
        <w:b/>
        <w:sz w:val="20"/>
      </w:rPr>
      <w:t>Revised August 17, 2000</w:t>
      <w:tab/>
      <w:tab/>
      <w:tab/>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keepLines/>
      <w:numPr>
        <w:ilvl w:val="1"/>
        <w:numId w:val="1"/>
      </w:numPr>
      <w:tabs>
        <w:tab w:val="clear" w:pos="720"/>
        <w:tab w:val="left" w:pos="4032" w:leader="none"/>
      </w:tabs>
      <w:spacing w:before="480" w:after="0"/>
      <w:outlineLvl w:val="1"/>
    </w:pPr>
    <w:rPr>
      <w:rFonts w:ascii="Arial" w:hAnsi="Arial" w:cs="Arial"/>
      <w:b/>
      <w:sz w:val="19"/>
    </w:rPr>
  </w:style>
  <w:style w:type="paragraph" w:styleId="Heading3">
    <w:name w:val="heading 3"/>
    <w:basedOn w:val="Normal"/>
    <w:next w:val="Normal"/>
    <w:qFormat/>
    <w:pPr>
      <w:keepNext w:val="true"/>
      <w:keepLines/>
      <w:numPr>
        <w:ilvl w:val="2"/>
        <w:numId w:val="1"/>
      </w:numPr>
      <w:jc w:val="center"/>
      <w:outlineLvl w:val="2"/>
    </w:pPr>
    <w:rPr>
      <w:rFonts w:ascii="Arial" w:hAnsi="Arial" w:cs="Arial"/>
      <w:b/>
      <w:smallCaps/>
      <w:sz w:val="19"/>
    </w:rPr>
  </w:style>
  <w:style w:type="paragraph" w:styleId="Heading4">
    <w:name w:val="heading 4"/>
    <w:basedOn w:val="Normal"/>
    <w:next w:val="Normal"/>
    <w:qFormat/>
    <w:pPr>
      <w:keepNext w:val="true"/>
      <w:keepLines/>
      <w:numPr>
        <w:ilvl w:val="3"/>
        <w:numId w:val="1"/>
      </w:numPr>
      <w:tabs>
        <w:tab w:val="clear" w:pos="720"/>
        <w:tab w:val="left" w:pos="4032" w:leader="none"/>
      </w:tabs>
      <w:jc w:val="both"/>
      <w:outlineLvl w:val="3"/>
    </w:pPr>
    <w:rPr>
      <w:rFonts w:ascii="Arial" w:hAnsi="Arial" w:cs="Arial"/>
      <w:b/>
      <w:i/>
      <w:sz w:val="17"/>
    </w:rPr>
  </w:style>
  <w:style w:type="paragraph" w:styleId="Heading5">
    <w:name w:val="heading 5"/>
    <w:basedOn w:val="Normal"/>
    <w:next w:val="Normal"/>
    <w:qFormat/>
    <w:pPr>
      <w:keepNext w:val="true"/>
      <w:numPr>
        <w:ilvl w:val="4"/>
        <w:numId w:val="1"/>
      </w:numPr>
      <w:jc w:val="end"/>
      <w:outlineLvl w:val="4"/>
    </w:pPr>
    <w:rPr>
      <w:b/>
      <w:bCs/>
      <w:color w:val="000000"/>
      <w:sz w:val="20"/>
    </w:rPr>
  </w:style>
  <w:style w:type="paragraph" w:styleId="Heading6">
    <w:name w:val="heading 6"/>
    <w:basedOn w:val="Normal"/>
    <w:next w:val="Normal"/>
    <w:qFormat/>
    <w:pPr>
      <w:keepNext w:val="true"/>
      <w:numPr>
        <w:ilvl w:val="5"/>
        <w:numId w:val="1"/>
      </w:numPr>
      <w:jc w:val="center"/>
      <w:outlineLvl w:val="5"/>
    </w:pPr>
    <w:rPr>
      <w:b/>
      <w:bCs/>
      <w:color w:val="000000"/>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val="false"/>
      <w:i w:val="false"/>
      <w:sz w:val="20"/>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jc w:val="center"/>
    </w:pPr>
    <w:rPr>
      <w:b/>
      <w:smallCaps/>
      <w:sz w:val="24"/>
    </w:rPr>
  </w:style>
  <w:style w:type="paragraph" w:styleId="BodyText">
    <w:name w:val="Body Text"/>
    <w:basedOn w:val="Normal"/>
    <w:pPr>
      <w:keepNext w:val="true"/>
      <w:keepLines/>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sz w:val="20"/>
    </w:rPr>
  </w:style>
  <w:style w:type="paragraph" w:styleId="BodyText2">
    <w:name w:val="Body Text 2"/>
    <w:basedOn w:val="Normal"/>
    <w:qFormat/>
    <w:pPr/>
    <w:rPr>
      <w:color w:val="000000"/>
      <w:sz w:val="20"/>
    </w:rPr>
  </w:style>
  <w:style w:type="paragraph" w:styleId="BodyText3">
    <w:name w:val="Body Text 3"/>
    <w:basedOn w:val="Normal"/>
    <w:qFormat/>
    <w:pPr/>
    <w:rPr>
      <w:b/>
      <w:bCs/>
      <w:color w:val="00000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2000-08-16T15:23:00Z</dcterms:created>
  <dc:creator>ECT</dc:creator>
  <dc:description/>
  <dc:language>en-CA</dc:language>
  <cp:lastModifiedBy>charlie hoang</cp:lastModifiedBy>
  <cp:lastPrinted>2000-08-03T15:08:00Z</cp:lastPrinted>
  <dcterms:modified xsi:type="dcterms:W3CDTF">2000-08-17T13:36:00Z</dcterms:modified>
  <cp:revision>4</cp:revision>
  <dc:subject/>
  <dc:title>COAL PURCHASE/SALE AGREEMENT</dc:title>
</cp:coreProperties>
</file>