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sz w:val="18"/>
        </w:rPr>
      </w:pPr>
      <w:r>
        <w:rPr>
          <w:rFonts w:cs="Arial" w:ascii="Arial" w:hAnsi="Arial"/>
          <w:sz w:val="18"/>
        </w:rPr>
        <w:t>April 5, 2000</w:t>
      </w:r>
    </w:p>
    <w:p>
      <w:pPr>
        <w:pStyle w:val="Footer"/>
        <w:tabs>
          <w:tab w:val="clear" w:pos="4320"/>
          <w:tab w:val="clear" w:pos="8640"/>
        </w:tabs>
        <w:rPr>
          <w:sz w:val="18"/>
        </w:rPr>
      </w:pPr>
      <w:r>
        <w:rPr>
          <w:sz w:val="18"/>
        </w:rPr>
      </w:r>
    </w:p>
    <w:p>
      <w:pPr>
        <w:pStyle w:val="Normal"/>
        <w:rPr>
          <w:sz w:val="18"/>
        </w:rPr>
      </w:pPr>
      <w:r>
        <w:rPr>
          <w:sz w:val="18"/>
        </w:rPr>
      </w:r>
    </w:p>
    <w:p>
      <w:pPr>
        <w:pStyle w:val="Normal"/>
        <w:rPr>
          <w:rFonts w:ascii="Arial" w:hAnsi="Arial" w:cs="Arial"/>
          <w:sz w:val="18"/>
        </w:rPr>
      </w:pPr>
      <w:r>
        <w:rPr>
          <w:rFonts w:cs="Arial" w:ascii="Arial" w:hAnsi="Arial"/>
          <w:sz w:val="18"/>
        </w:rPr>
        <w:t>The Lubrizol Corporation</w:t>
      </w:r>
    </w:p>
    <w:p>
      <w:pPr>
        <w:pStyle w:val="Footer"/>
        <w:tabs>
          <w:tab w:val="clear" w:pos="4320"/>
          <w:tab w:val="clear" w:pos="8640"/>
        </w:tabs>
        <w:rPr>
          <w:rFonts w:ascii="Arial" w:hAnsi="Arial" w:cs="Arial"/>
          <w:sz w:val="18"/>
        </w:rPr>
      </w:pPr>
      <w:r>
        <w:rPr>
          <w:rFonts w:cs="Arial" w:ascii="Arial" w:hAnsi="Arial"/>
          <w:sz w:val="18"/>
        </w:rPr>
        <w:t>Box 158</w:t>
      </w:r>
    </w:p>
    <w:p>
      <w:pPr>
        <w:pStyle w:val="Normal"/>
        <w:rPr>
          <w:rFonts w:ascii="Arial" w:hAnsi="Arial" w:cs="Arial"/>
          <w:sz w:val="18"/>
        </w:rPr>
      </w:pPr>
      <w:r>
        <w:rPr>
          <w:rFonts w:cs="Arial" w:ascii="Arial" w:hAnsi="Arial"/>
          <w:sz w:val="18"/>
        </w:rPr>
        <w:t>Deer Park, Texas 77536-0158.</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RE:  Keep-ready agreement for HPL facilities at Lubrizol – Bayport Measurement Station</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Gentlemen:</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By Bill of Sale dated effective March 9, 2000 (the “Bill of Sale”), Houston Pipe Line Company (“HPL”) and The Lubrizol Corporation (“Lubrizol”) agreed to certain terms with respect to the sale and retention of certain HPL facilities at HPL’s Lubrizol-Bayport Measurement Station located on Lubrizol’s plant site in Harris County, Texas.  Pursuant to the terms of the Bill of Sale, the southern run of the existing measurement station has been sold to Lubrizol for $3,000.00.  This will enable Tejas Gas Pipeline (“Tejas”), to connect into Lubrizol’s facility and deliver fuel gas to Lubrizol.  The purpose of this Keep Ready Agreement (the “Agreement”) is to keep the northern run of HPL’s existing Lubrizol-Bayport measurement facility for Lubrizol on a stand-by basis for a term of 3 years from the effective date of this Agreement in order to meet Lubrizol’s gas requirements for such period.  In consideration of the mutual benefits to be derived therefrom, HPL and Lubrizol do hereby agree as follows:</w:t>
      </w:r>
    </w:p>
    <w:p>
      <w:pPr>
        <w:pStyle w:val="Normal"/>
        <w:jc w:val="both"/>
        <w:rPr>
          <w:rFonts w:ascii="Arial" w:hAnsi="Arial" w:cs="Arial"/>
          <w:sz w:val="18"/>
        </w:rPr>
      </w:pPr>
      <w:r>
        <w:rPr>
          <w:rFonts w:cs="Arial" w:ascii="Arial" w:hAnsi="Arial"/>
          <w:sz w:val="18"/>
        </w:rPr>
      </w:r>
    </w:p>
    <w:p>
      <w:pPr>
        <w:pStyle w:val="Normal"/>
        <w:numPr>
          <w:ilvl w:val="0"/>
          <w:numId w:val="2"/>
        </w:numPr>
        <w:jc w:val="both"/>
        <w:rPr>
          <w:rFonts w:ascii="Arial" w:hAnsi="Arial" w:cs="Arial"/>
          <w:sz w:val="18"/>
        </w:rPr>
      </w:pPr>
      <w:r>
        <w:rPr>
          <w:rFonts w:cs="Arial" w:ascii="Arial" w:hAnsi="Arial"/>
          <w:sz w:val="18"/>
        </w:rPr>
        <w:t>HPL and Lubrizol agree that in consideration for HPL’s agreement to retain its facilities, specifically the northern run, at the Lubrizol-Bayport Measurement Station location and maintain its equipment for readiness for a three-year period in case Lubrizol should need HPL to deliver gas to the Bayport Measurement Station, Lubrizol agrees to pay to HPL three annual payments of six thousand dollars ($6,000.00) each with the first annual payment paid contemporaneously with the execution of this agreement.  The six thousand dollar ($6,000.00) annual payment represents a prepayment of a monthly rental fee of five hundred dollars ($500.00).  All subsequent annual payments for the aforementioned three-year term shall be due on or before April 1</w:t>
      </w:r>
      <w:r>
        <w:rPr>
          <w:rFonts w:cs="Arial" w:ascii="Arial" w:hAnsi="Arial"/>
          <w:sz w:val="18"/>
          <w:vertAlign w:val="superscript"/>
        </w:rPr>
        <w:t>st</w:t>
      </w:r>
      <w:r>
        <w:rPr>
          <w:rFonts w:cs="Arial" w:ascii="Arial" w:hAnsi="Arial"/>
          <w:sz w:val="18"/>
        </w:rPr>
        <w:t xml:space="preserve"> of 2001 and 2002, respectively.  Payments shall be made to Houston Pipe Line Company, Attention: HPL-Gas Network Operations, P.O. Box 1188, Houston, Texas, 77251-1188.  </w:t>
      </w:r>
    </w:p>
    <w:p>
      <w:pPr>
        <w:pStyle w:val="Normal"/>
        <w:ind w:hanging="360" w:start="360" w:end="0"/>
        <w:jc w:val="both"/>
        <w:rPr>
          <w:rFonts w:ascii="Arial" w:hAnsi="Arial" w:cs="Arial"/>
          <w:sz w:val="18"/>
        </w:rPr>
      </w:pPr>
      <w:r>
        <w:rPr>
          <w:rFonts w:cs="Arial" w:ascii="Arial" w:hAnsi="Arial"/>
          <w:sz w:val="18"/>
        </w:rPr>
      </w:r>
    </w:p>
    <w:p>
      <w:pPr>
        <w:pStyle w:val="Normal"/>
        <w:numPr>
          <w:ilvl w:val="0"/>
          <w:numId w:val="2"/>
        </w:numPr>
        <w:jc w:val="both"/>
        <w:rPr>
          <w:rFonts w:ascii="Arial" w:hAnsi="Arial" w:cs="Arial"/>
          <w:sz w:val="18"/>
        </w:rPr>
      </w:pPr>
      <w:r>
        <w:rPr>
          <w:rFonts w:cs="Arial" w:ascii="Arial" w:hAnsi="Arial"/>
          <w:sz w:val="18"/>
        </w:rPr>
        <w:t xml:space="preserve">In the event that either (i) Tejas is unable to fulfill its gas delivery obligations to Lubrizol or (ii) Lubrizol contracts with HPL to deliver fuel gas to its Lubrizol-Bayport Measurement Station, Lubrizol shall enter into a gas purchase contract with HPL within __ days of such gas flow from HPL to Lubrizol at a rate ot _________.   [Price to be mutually agreed upon by the parties].  </w:t>
      </w:r>
    </w:p>
    <w:p>
      <w:pPr>
        <w:pStyle w:val="Normal"/>
        <w:jc w:val="both"/>
        <w:rPr>
          <w:rFonts w:ascii="Arial" w:hAnsi="Arial" w:cs="Arial"/>
          <w:sz w:val="18"/>
        </w:rPr>
      </w:pPr>
      <w:r>
        <w:rPr>
          <w:rFonts w:cs="Arial" w:ascii="Arial" w:hAnsi="Arial"/>
          <w:sz w:val="18"/>
        </w:rPr>
      </w:r>
    </w:p>
    <w:p>
      <w:pPr>
        <w:pStyle w:val="Normal"/>
        <w:numPr>
          <w:ilvl w:val="0"/>
          <w:numId w:val="2"/>
        </w:numPr>
        <w:jc w:val="both"/>
        <w:rPr>
          <w:rFonts w:ascii="Arial" w:hAnsi="Arial" w:cs="Arial"/>
          <w:sz w:val="18"/>
        </w:rPr>
      </w:pPr>
      <w:r>
        <w:rPr>
          <w:rFonts w:cs="Arial" w:ascii="Arial" w:hAnsi="Arial"/>
          <w:sz w:val="18"/>
        </w:rPr>
        <w:t>Pursuant to that certain Gas Sales Contract dated April 1, 1990 (the “Gas Sales Agreement”) between HPL and Lubrizol, provided HPL with easement rights for its surface site and associated pipeline commonly known as the Lubrizol-Bayport Measurement Station.  In consideration of the execution of this Agreement, Lubrizol agrees to provide HPL (and/or its designee), a __-foot x __-foot surface easement for the existing pipeline and measurement facilities (the “HPL Facilities”) located on Lubrizol’s property, with such rights of ingress and egress which may be necessary to access the property.  The exact location and description of the property being committed to HPL is to be mutually agreed upon between HPL and Lubrizol as soon as is reasonably possible. The right-of-way and easement agreement to be executed will be substantially in the form of the document attached hereto as Exhibit "A".</w:t>
      </w:r>
    </w:p>
    <w:p>
      <w:pPr>
        <w:pStyle w:val="Normal"/>
        <w:jc w:val="both"/>
        <w:rPr>
          <w:rFonts w:ascii="Arial" w:hAnsi="Arial" w:cs="Arial"/>
          <w:sz w:val="18"/>
        </w:rPr>
      </w:pPr>
      <w:r>
        <w:rPr>
          <w:rFonts w:cs="Arial" w:ascii="Arial" w:hAnsi="Arial"/>
          <w:sz w:val="18"/>
        </w:rPr>
      </w:r>
    </w:p>
    <w:p>
      <w:pPr>
        <w:pStyle w:val="Normal"/>
        <w:numPr>
          <w:ilvl w:val="0"/>
          <w:numId w:val="2"/>
        </w:numPr>
        <w:jc w:val="both"/>
        <w:rPr>
          <w:rFonts w:ascii="Arial" w:hAnsi="Arial" w:cs="Arial"/>
        </w:rPr>
      </w:pPr>
      <w:r>
        <w:rPr>
          <w:rFonts w:cs="Arial" w:ascii="Arial" w:hAnsi="Arial"/>
          <w:sz w:val="18"/>
        </w:rPr>
        <w:t xml:space="preserve">Lubrizol shall use their best efforts not to disturb or displace any of HPL’s Facilities located at the Lubrizol-Bayport Measurement Station.  Lubrizol shall notify HPL prior to undertaking any activity or operations which may affect the HPL Facilities.  Lubrizol shall be solely responsible for any repairs and payments required to repair any damages to HPL’s Facilities at or near the Lubrizol-Bayport Measurement Station caused by Lubrizol, its employees, agents, representatives, contractors, subcontractors or invitees.  </w:t>
      </w:r>
    </w:p>
    <w:p>
      <w:pPr>
        <w:pStyle w:val="Normal"/>
        <w:jc w:val="both"/>
        <w:rPr>
          <w:rFonts w:ascii="Arial" w:hAnsi="Arial" w:cs="Arial"/>
          <w:sz w:val="18"/>
        </w:rPr>
      </w:pPr>
      <w:r>
        <w:rPr>
          <w:rFonts w:cs="Arial" w:ascii="Arial" w:hAnsi="Arial"/>
          <w:sz w:val="18"/>
        </w:rPr>
      </w:r>
    </w:p>
    <w:p>
      <w:pPr>
        <w:pStyle w:val="Normal"/>
        <w:numPr>
          <w:ilvl w:val="0"/>
          <w:numId w:val="2"/>
        </w:numPr>
        <w:jc w:val="both"/>
        <w:rPr>
          <w:rFonts w:ascii="Arial" w:hAnsi="Arial" w:cs="Arial"/>
          <w:sz w:val="18"/>
        </w:rPr>
      </w:pPr>
      <w:r>
        <w:rPr>
          <w:rFonts w:cs="Arial" w:ascii="Arial" w:hAnsi="Arial"/>
          <w:sz w:val="18"/>
        </w:rPr>
        <w:t xml:space="preserve">HPL shall operate and maintain or cause the operation and maintenance of the HPL Facilities in accordance with sound and prudent natural gas pipeline industry practice and shall be fully responsible for the operation and maintenance thereof and for all cost, expense and risk associated therewith. </w:t>
      </w:r>
    </w:p>
    <w:p>
      <w:pPr>
        <w:pStyle w:val="Normal"/>
        <w:jc w:val="both"/>
        <w:rPr>
          <w:rFonts w:ascii="Arial" w:hAnsi="Arial" w:cs="Arial"/>
          <w:sz w:val="18"/>
        </w:rPr>
      </w:pPr>
      <w:r>
        <w:rPr>
          <w:rFonts w:cs="Arial" w:ascii="Arial" w:hAnsi="Arial"/>
          <w:sz w:val="18"/>
        </w:rPr>
      </w:r>
    </w:p>
    <w:p>
      <w:pPr>
        <w:pStyle w:val="Normal"/>
        <w:tabs>
          <w:tab w:val="clear" w:pos="720"/>
          <w:tab w:val="left" w:pos="360" w:leader="none"/>
        </w:tabs>
        <w:ind w:hanging="360" w:start="360" w:end="0"/>
        <w:jc w:val="both"/>
        <w:rPr>
          <w:sz w:val="18"/>
        </w:rPr>
      </w:pPr>
      <w:r>
        <w:rPr>
          <w:rFonts w:cs="Arial" w:ascii="Arial" w:hAnsi="Arial"/>
          <w:sz w:val="18"/>
        </w:rPr>
        <w:t>6.</w:t>
        <w:tab/>
        <w:t xml:space="preserve">LUBRIZOL SHALL BE LIABLE FOR AND AGREES TO INDEMNIFY AND SAVE HPL HARMLESS FROM AND AGAINST ANY AND ALL CLAIMS, DEMANDS, SUITS, ACTIONS, DEBTS, ACCOUNTS, DAMAGES, COSTS, LOSSES, LIABILITIES OR ANY OTHER CAUSE OF ACTION FOR DAMAGE TO PROPERTY AND INJURY TO OR DEATH OF PERSONS WHICH MAY, IN ANY WAY, RESULT FROM, GROW OUT OF OR ARISE IN CONNECTION WITH LUBRIZOL’S EXERCISE OR ENJOYMENT OF THE STAND-BY RIGHTS GRANTED HEREIN, SAVE AND EXCEPT SUCH DAMAGE TO PROPERTY, INJURY TO OR DEATH OF PERSONS AS IS CAUSED BY THE GROSS NEGLIGENCE OR WILLFUL MISCONDUCT OF HPL; PROVIDED, HOWEVER, NEITHER PARTY SHALL BE LIABLE OR RESPONSIBLE TO THE OTHER PARTY TO THIS CONTRACT FOR ANY SPECIAL, INDIRECT, INCIDENTAL, CONSEQUENTIAL OR PUNITIVE DAMAGES OR LOST PROFITS THAT ARISE OUT OF OR RELATE TO THE PERFORMANCE OR BREACH OF THIS AGREEMENT OR THE BILL OF SALE. </w:t>
      </w:r>
    </w:p>
    <w:p>
      <w:pPr>
        <w:pStyle w:val="Normal"/>
        <w:numPr>
          <w:ilvl w:val="0"/>
          <w:numId w:val="0"/>
        </w:numPr>
        <w:ind w:hanging="0" w:start="0"/>
        <w:jc w:val="both"/>
        <w:rPr>
          <w:sz w:val="18"/>
        </w:rPr>
      </w:pPr>
      <w:r>
        <w:rPr>
          <w:sz w:val="18"/>
        </w:rPr>
      </w:r>
    </w:p>
    <w:p>
      <w:pPr>
        <w:pStyle w:val="Normal"/>
        <w:ind w:hanging="360" w:start="360" w:end="0"/>
        <w:jc w:val="both"/>
        <w:rPr>
          <w:sz w:val="18"/>
        </w:rPr>
      </w:pPr>
      <w:r>
        <w:rPr>
          <w:rFonts w:cs="Arial" w:ascii="Arial" w:hAnsi="Arial"/>
          <w:sz w:val="18"/>
        </w:rPr>
        <w:t>7.</w:t>
        <w:tab/>
        <w:t xml:space="preserve">This letter agreement is effective as of April 1, 2000 and shall continue in effect through March 31, 2003, unless cancelled earlier by Lubrizol by providing HPL written notice of cancellation.  In the event Lubrizol cancels this agreement, it is agreed and understood that Lubrizol shall not be entitled to a refund of any portion(s) of the annual $6,000 keep ready payment.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If this letter correctly sets forth your understanding of our agreement, please so indicate by executing both copies of this letter in the spaces indicated and return both copies of the letter and your check made payable to Houston Pipe Line Company in the amount of $6,000.00.  We will execute both letter agreements and return one to you for your records.</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ab/>
        <w:tab/>
        <w:tab/>
        <w:tab/>
        <w:tab/>
        <w:tab/>
        <w:tab/>
        <w:t>Very truly yours,</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ab/>
        <w:tab/>
        <w:tab/>
        <w:tab/>
        <w:tab/>
        <w:tab/>
        <w:tab/>
        <w:t>________________________________</w:t>
      </w:r>
    </w:p>
    <w:p>
      <w:pPr>
        <w:pStyle w:val="Normal"/>
        <w:jc w:val="both"/>
        <w:rPr>
          <w:rFonts w:ascii="Arial" w:hAnsi="Arial" w:cs="Arial"/>
          <w:sz w:val="18"/>
        </w:rPr>
      </w:pPr>
      <w:r>
        <w:rPr>
          <w:rFonts w:cs="Arial" w:ascii="Arial" w:hAnsi="Arial"/>
          <w:sz w:val="18"/>
        </w:rPr>
        <w:tab/>
        <w:tab/>
        <w:tab/>
        <w:tab/>
        <w:tab/>
        <w:tab/>
        <w:tab/>
        <w:t xml:space="preserve">BY:  </w:t>
        <w:tab/>
        <w:t>Steve Schneider</w:t>
      </w:r>
    </w:p>
    <w:p>
      <w:pPr>
        <w:pStyle w:val="Normal"/>
        <w:jc w:val="both"/>
        <w:rPr>
          <w:rFonts w:ascii="Arial" w:hAnsi="Arial" w:cs="Arial"/>
          <w:sz w:val="18"/>
        </w:rPr>
      </w:pPr>
      <w:r>
        <w:rPr>
          <w:rFonts w:cs="Arial" w:ascii="Arial" w:hAnsi="Arial"/>
          <w:sz w:val="18"/>
        </w:rPr>
        <w:tab/>
        <w:tab/>
        <w:tab/>
        <w:tab/>
        <w:tab/>
        <w:tab/>
        <w:tab/>
        <w:t>TITLE:   Vice-President</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Agreed and Accepted this ______ day of ________, 2000.</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spacing w:lineRule="atLeast" w:line="240"/>
        <w:jc w:val="both"/>
        <w:rPr>
          <w:rFonts w:ascii="Arial" w:hAnsi="Arial" w:cs="Arial"/>
          <w:sz w:val="18"/>
        </w:rPr>
      </w:pPr>
      <w:r>
        <w:rPr>
          <w:rFonts w:cs="Arial" w:ascii="Arial" w:hAnsi="Arial"/>
          <w:sz w:val="18"/>
        </w:rPr>
        <w:t>The Lubrizol Corporation</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___________________________________</w:t>
      </w:r>
    </w:p>
    <w:p>
      <w:pPr>
        <w:pStyle w:val="Normal"/>
        <w:jc w:val="both"/>
        <w:rPr>
          <w:rFonts w:ascii="Arial" w:hAnsi="Arial" w:cs="Arial"/>
          <w:sz w:val="18"/>
        </w:rPr>
      </w:pPr>
      <w:r>
        <w:rPr>
          <w:rFonts w:cs="Arial" w:ascii="Arial" w:hAnsi="Arial"/>
          <w:sz w:val="18"/>
        </w:rPr>
        <w:t>By:</w:t>
        <w:tab/>
        <w:t>____________________________</w:t>
      </w:r>
    </w:p>
    <w:p>
      <w:pPr>
        <w:pStyle w:val="Normal"/>
        <w:jc w:val="both"/>
        <w:rPr>
          <w:rFonts w:ascii="Arial" w:hAnsi="Arial" w:cs="Arial"/>
        </w:rPr>
      </w:pPr>
      <w:r>
        <w:rPr>
          <w:rFonts w:cs="Arial" w:ascii="Arial" w:hAnsi="Arial"/>
          <w:sz w:val="18"/>
        </w:rPr>
        <w:t>Title:</w:t>
        <w:tab/>
        <w:t>____________________________</w:t>
      </w:r>
      <w:r>
        <w:br w:type="page"/>
      </w:r>
    </w:p>
    <w:p>
      <w:pPr>
        <w:pStyle w:val="Normal"/>
        <w:jc w:val="center"/>
        <w:rPr>
          <w:rFonts w:ascii="Arial" w:hAnsi="Arial" w:cs="Arial"/>
          <w:sz w:val="22"/>
        </w:rPr>
      </w:pPr>
      <w:r>
        <w:rPr>
          <w:rFonts w:cs="Arial" w:ascii="Arial" w:hAnsi="Arial"/>
          <w:sz w:val="22"/>
        </w:rPr>
        <w:t>EXHIBIT "A"</w:t>
      </w:r>
    </w:p>
    <w:p>
      <w:pPr>
        <w:pStyle w:val="Normal"/>
        <w:jc w:val="center"/>
        <w:rPr>
          <w:rFonts w:ascii="Arial" w:hAnsi="Arial" w:cs="Arial"/>
          <w:sz w:val="22"/>
        </w:rPr>
      </w:pPr>
      <w:r>
        <w:rPr>
          <w:rFonts w:cs="Arial" w:ascii="Arial" w:hAnsi="Arial"/>
          <w:sz w:val="22"/>
        </w:rPr>
        <w:t>FORM OF EASEMENT</w:t>
      </w:r>
    </w:p>
    <w:p>
      <w:pPr>
        <w:pStyle w:val="Normal"/>
        <w:jc w:val="center"/>
        <w:rPr>
          <w:rFonts w:ascii="Arial" w:hAnsi="Arial" w:cs="Arial"/>
          <w:sz w:val="22"/>
        </w:rPr>
      </w:pPr>
      <w:r>
        <w:rPr>
          <w:rFonts w:cs="Arial" w:ascii="Arial" w:hAnsi="Arial"/>
          <w:sz w:val="22"/>
        </w:rPr>
      </w:r>
    </w:p>
    <w:p>
      <w:pPr>
        <w:pStyle w:val="Heading5"/>
        <w:widowControl/>
        <w:rPr>
          <w:rFonts w:ascii="Arial" w:hAnsi="Arial" w:cs="Arial"/>
          <w:sz w:val="22"/>
        </w:rPr>
      </w:pPr>
      <w:r>
        <w:rPr>
          <w:rFonts w:cs="Arial" w:ascii="Arial" w:hAnsi="Arial"/>
          <w:sz w:val="22"/>
        </w:rPr>
        <w:t>RIGHT of WAY and SURFACE EASEMENT AGREEMENT</w:t>
      </w:r>
    </w:p>
    <w:p>
      <w:pPr>
        <w:pStyle w:val="Normal"/>
        <w:tabs>
          <w:tab w:val="left" w:pos="720" w:leader="none"/>
          <w:tab w:val="left" w:pos="1440" w:leader="none"/>
          <w:tab w:val="left" w:pos="7200" w:leader="none"/>
        </w:tabs>
        <w:spacing w:lineRule="auto" w:line="360"/>
        <w:ind w:end="-810"/>
        <w:jc w:val="both"/>
        <w:rPr>
          <w:rFonts w:ascii="Arial" w:hAnsi="Arial" w:cs="Arial"/>
          <w:sz w:val="22"/>
        </w:rPr>
      </w:pPr>
      <w:r>
        <w:rPr>
          <w:rFonts w:cs="Arial" w:ascii="Arial" w:hAnsi="Arial"/>
          <w:sz w:val="22"/>
        </w:rPr>
      </w:r>
    </w:p>
    <w:p>
      <w:pPr>
        <w:pStyle w:val="Normal"/>
        <w:tabs>
          <w:tab w:val="left" w:pos="720" w:leader="none"/>
          <w:tab w:val="left" w:pos="1440" w:leader="none"/>
          <w:tab w:val="left" w:pos="7200" w:leader="none"/>
        </w:tabs>
        <w:spacing w:lineRule="auto" w:line="360"/>
        <w:ind w:end="-810"/>
        <w:jc w:val="both"/>
        <w:rPr>
          <w:rFonts w:ascii="Arial" w:hAnsi="Arial" w:cs="Arial"/>
          <w:sz w:val="22"/>
        </w:rPr>
      </w:pPr>
      <w:r>
        <w:rPr>
          <w:rFonts w:cs="Arial" w:ascii="Arial" w:hAnsi="Arial"/>
          <w:sz w:val="22"/>
        </w:rPr>
      </w:r>
    </w:p>
    <w:p>
      <w:pPr>
        <w:pStyle w:val="Heading7"/>
        <w:rPr/>
      </w:pPr>
      <w:r>
        <w:rPr/>
        <w:t>THE STATE OF TEXAS</w:t>
        <w:tab/>
        <w:t>§</w:t>
      </w:r>
    </w:p>
    <w:p>
      <w:pPr>
        <w:pStyle w:val="Heading1"/>
        <w:tabs>
          <w:tab w:val="clear" w:pos="720"/>
          <w:tab w:val="left" w:pos="2880" w:leader="none"/>
        </w:tabs>
        <w:spacing w:lineRule="auto" w:line="360"/>
        <w:ind w:hanging="0" w:start="0"/>
        <w:rPr>
          <w:sz w:val="22"/>
        </w:rPr>
      </w:pPr>
      <w:r>
        <w:rPr>
          <w:sz w:val="22"/>
        </w:rPr>
        <w:t>COUNTY OF HARRIS</w:t>
        <w:tab/>
        <w:t>§</w:t>
      </w:r>
    </w:p>
    <w:p>
      <w:pPr>
        <w:pStyle w:val="Normal"/>
        <w:tabs>
          <w:tab w:val="left" w:pos="720" w:leader="none"/>
          <w:tab w:val="left" w:pos="2880" w:leader="none"/>
          <w:tab w:val="left" w:pos="7200" w:leader="none"/>
        </w:tabs>
        <w:spacing w:lineRule="auto" w:line="360"/>
        <w:ind w:end="-810"/>
        <w:jc w:val="both"/>
        <w:rPr>
          <w:rFonts w:ascii="Arial" w:hAnsi="Arial" w:cs="Arial"/>
          <w:sz w:val="22"/>
        </w:rPr>
      </w:pPr>
      <w:r>
        <w:rPr>
          <w:rFonts w:cs="Arial" w:ascii="Arial" w:hAnsi="Arial"/>
          <w:sz w:val="22"/>
        </w:rPr>
      </w:r>
    </w:p>
    <w:p>
      <w:pPr>
        <w:pStyle w:val="Normal"/>
        <w:tabs>
          <w:tab w:val="left" w:pos="720" w:leader="none"/>
          <w:tab w:val="left" w:pos="2880" w:leader="none"/>
          <w:tab w:val="left" w:pos="3600" w:leader="none"/>
          <w:tab w:val="left" w:pos="7200" w:leader="none"/>
        </w:tabs>
        <w:spacing w:lineRule="auto" w:line="360"/>
        <w:ind w:end="-810"/>
        <w:jc w:val="both"/>
        <w:rPr>
          <w:rFonts w:ascii="Arial" w:hAnsi="Arial" w:cs="Arial"/>
          <w:b/>
          <w:sz w:val="22"/>
        </w:rPr>
      </w:pPr>
      <w:r>
        <w:rPr>
          <w:rFonts w:cs="Arial" w:ascii="Arial" w:hAnsi="Arial"/>
          <w:b/>
          <w:sz w:val="22"/>
        </w:rPr>
        <w:t>KNOW ALL MEN BY THESE PRESENTS:</w:t>
      </w:r>
    </w:p>
    <w:p>
      <w:pPr>
        <w:pStyle w:val="BodyText3"/>
        <w:rPr/>
      </w:pPr>
      <w:r>
        <w:rPr>
          <w:rFonts w:cs="Arial" w:ascii="Arial" w:hAnsi="Arial"/>
          <w:sz w:val="22"/>
        </w:rPr>
        <w:tab/>
        <w:t>THAT, THE LUBRIZOL CORPORATION, (“Grantor”), whose address is Box 158, Deer Park, Texas 77536-0158, in consideration of certain rights granted to Grantor by the Grantee herein named in that certain Keep Ready Agreement dated April 1, 2000, does hereby grant, bargain, sell and convey unto HOUSTON PIPE LINE COMPANY, ("</w:t>
      </w:r>
      <w:r>
        <w:rPr>
          <w:rFonts w:cs="Arial" w:ascii="Arial" w:hAnsi="Arial"/>
          <w:sz w:val="22"/>
          <w:u w:val="single"/>
        </w:rPr>
        <w:t>Grantee</w:t>
      </w:r>
      <w:r>
        <w:rPr>
          <w:rFonts w:cs="Arial" w:ascii="Arial" w:hAnsi="Arial"/>
          <w:sz w:val="22"/>
        </w:rPr>
        <w:t xml:space="preserve">") whose address is P.O. Box 1188, Houston, Texas 77251-1188, its successors and assigns a surface easement of ___-foot by ___-foot for HPL's existing Lubrizol-Bayport Measurement Station located on the property, along with such rights of ingress and egress which may be necessary to access the property.  The exact location and description of the property being committed to HPL is </w:t>
      </w:r>
      <w:r>
        <w:rPr>
          <w:rFonts w:cs="Arial" w:ascii="Arial" w:hAnsi="Arial"/>
          <w:b/>
          <w:sz w:val="22"/>
        </w:rPr>
        <w:t>[</w:t>
      </w:r>
      <w:r>
        <w:rPr>
          <w:rFonts w:cs="Arial" w:ascii="Arial" w:hAnsi="Arial"/>
          <w:i/>
          <w:sz w:val="22"/>
        </w:rPr>
        <w:t>NOTE:</w:t>
      </w:r>
      <w:r>
        <w:rPr>
          <w:rFonts w:cs="Arial" w:ascii="Arial" w:hAnsi="Arial"/>
          <w:b/>
          <w:i/>
          <w:sz w:val="22"/>
        </w:rPr>
        <w:t xml:space="preserve"> </w:t>
      </w:r>
      <w:r>
        <w:rPr>
          <w:rFonts w:cs="Arial" w:ascii="Arial" w:hAnsi="Arial"/>
          <w:i/>
          <w:sz w:val="22"/>
        </w:rPr>
        <w:t>the property desciption is to be mutually agreed upon between HPL and Lubrizol as soon as is reasonably possible</w:t>
      </w:r>
      <w:r>
        <w:rPr>
          <w:rFonts w:cs="Arial" w:ascii="Arial" w:hAnsi="Arial"/>
          <w:b/>
          <w:sz w:val="22"/>
        </w:rPr>
        <w:t>]</w:t>
      </w:r>
      <w:r>
        <w:rPr>
          <w:rFonts w:cs="Arial" w:ascii="Arial" w:hAnsi="Arial"/>
          <w:sz w:val="22"/>
        </w:rPr>
        <w:t>, also shown on Exhibit “A” (hereinafter collectively referred to as the “Easement Area”).</w:t>
      </w:r>
    </w:p>
    <w:p>
      <w:pPr>
        <w:pStyle w:val="BodyTextIndent"/>
        <w:spacing w:lineRule="auto" w:line="360"/>
        <w:ind w:hanging="0" w:start="0" w:end="0"/>
        <w:jc w:val="both"/>
        <w:rPr>
          <w:rFonts w:ascii="Arial" w:hAnsi="Arial" w:cs="Arial"/>
          <w:sz w:val="22"/>
        </w:rPr>
      </w:pPr>
      <w:r>
        <w:rPr>
          <w:rFonts w:eastAsia="Arial" w:cs="Arial" w:ascii="Arial" w:hAnsi="Arial"/>
          <w:sz w:val="22"/>
        </w:rPr>
        <w:t xml:space="preserve"> </w:t>
      </w:r>
      <w:r>
        <w:rPr>
          <w:rFonts w:cs="Arial" w:ascii="Arial" w:hAnsi="Arial"/>
          <w:sz w:val="22"/>
        </w:rPr>
        <w:tab/>
        <w:t>To have and to hold the Easement Area granted herein unto the said Grantee, its successors and assigns on the terms stated herein and, subject to the terms of this grant, such rights and Easement Area shall be covenants running with the land and be binding upon Grantor, its legal representatives and successors in title.</w:t>
      </w:r>
    </w:p>
    <w:p>
      <w:pPr>
        <w:pStyle w:val="Normal"/>
        <w:tabs>
          <w:tab w:val="left" w:pos="720" w:leader="none"/>
          <w:tab w:val="left" w:pos="2880" w:leader="none"/>
          <w:tab w:val="left" w:pos="7200" w:leader="none"/>
        </w:tabs>
        <w:spacing w:lineRule="auto" w:line="360"/>
        <w:jc w:val="both"/>
        <w:rPr>
          <w:rFonts w:ascii="Arial" w:hAnsi="Arial" w:cs="Arial"/>
          <w:sz w:val="22"/>
        </w:rPr>
      </w:pPr>
      <w:r>
        <w:rPr>
          <w:rFonts w:cs="Arial" w:ascii="Arial" w:hAnsi="Arial"/>
          <w:sz w:val="22"/>
        </w:rPr>
        <w:tab/>
        <w:t>1.  Grantor acknowledges that Grantee is a natural gas transmission company and public utility company.  Grantor does hereby grant to Grantee the rights of ingress to, egress from and access to the Easement Area for the purpose of operating, maintaining, inspecting, repairing, replacing, resizing, or removing the pipeline facilities from the Easement Area.</w:t>
      </w:r>
    </w:p>
    <w:p>
      <w:pPr>
        <w:pStyle w:val="BodyText"/>
        <w:spacing w:lineRule="auto" w:line="360"/>
        <w:ind w:end="0"/>
        <w:rPr/>
      </w:pPr>
      <w:r>
        <w:rPr/>
        <w:tab/>
        <w:t>2.  Grantee shall have the sole responsibility for any construction, maintenance, operation, inspection, repair, replacement, protection, substitution, resizing, removal or abandonment of the pipeline facilities.</w:t>
      </w:r>
    </w:p>
    <w:p>
      <w:pPr>
        <w:pStyle w:val="BodyText"/>
        <w:spacing w:lineRule="auto" w:line="360"/>
        <w:ind w:end="0"/>
        <w:rPr/>
      </w:pPr>
      <w:r>
        <w:rPr/>
        <w:tab/>
        <w:t>3.  Grantor shall at all times conduct all of their activities on the Easement Area in such a manner as to not interfere with or impede the operation and activities of the pipeline facilities in any manner whatsoever.  In the event that Grantee, in its sole discretion, determines that the safety, operation or maintenance of the pipeline facilities is affected by Grantor's activities on or over the Easement Area, Grantor shall reimburse Grantee for its reasonable costs incurred in lowering or relocating the pipeline facilities.</w:t>
      </w:r>
    </w:p>
    <w:p>
      <w:pPr>
        <w:pStyle w:val="BodyText"/>
        <w:spacing w:lineRule="auto" w:line="360"/>
        <w:ind w:end="0"/>
        <w:rPr/>
      </w:pPr>
      <w:r>
        <w:rPr/>
        <w:tab/>
        <w:t>4.  Grantor shall not plant any trees or shrubs within the confines of the Easement Area.</w:t>
      </w:r>
    </w:p>
    <w:p>
      <w:pPr>
        <w:pStyle w:val="BodyText"/>
        <w:spacing w:lineRule="auto" w:line="360"/>
        <w:ind w:end="0"/>
        <w:rPr/>
      </w:pPr>
      <w:r>
        <w:rPr/>
        <w:tab/>
        <w:t>5.  Grantor shall not construct, nor permit the construction of, any fences, driveways, parking lots, sidewalks, walkways, buildings, temporary or permanent structures, or surface coverings of any kind on or over the Easement Area.</w:t>
      </w:r>
    </w:p>
    <w:p>
      <w:pPr>
        <w:pStyle w:val="BodyText"/>
        <w:spacing w:lineRule="auto" w:line="360"/>
        <w:ind w:end="0"/>
        <w:rPr/>
      </w:pPr>
      <w:r>
        <w:rPr/>
        <w:tab/>
        <w:t>6.  Grantee must have the opportunity to be present and notified at least forty-eight hours prior to any work (such as construction, excavation or use of heavy equipment) being performed at or near the pipeline facilities or Easement Area. The Texas Underground Facility Damage Prevention Act requires that excavators in Texas notify a one-call notification center 48 hours prior to digging.  Grantee utilizes the Texas Excavation Safety System ("TESS") as its notification center.  Grantor must contact Grantee and the TESS notification center before commencing any construction or excavation activity at or near the pipeline facilities.  As of the date of this Agreement, the contact numbers for Grantee's representative are as follows:</w:t>
      </w:r>
    </w:p>
    <w:p>
      <w:pPr>
        <w:pStyle w:val="Normal"/>
        <w:tabs>
          <w:tab w:val="left" w:pos="720" w:leader="none"/>
          <w:tab w:val="left" w:pos="1080" w:leader="none"/>
        </w:tabs>
        <w:spacing w:lineRule="exact" w:line="240"/>
        <w:ind w:end="-288"/>
        <w:jc w:val="both"/>
        <w:rPr>
          <w:rFonts w:ascii="Arial" w:hAnsi="Arial" w:cs="Arial"/>
          <w:sz w:val="22"/>
        </w:rPr>
      </w:pPr>
      <w:r>
        <w:rPr>
          <w:rFonts w:cs="Arial" w:ascii="Arial" w:hAnsi="Arial"/>
          <w:sz w:val="22"/>
        </w:rPr>
        <w:tab/>
        <w:t>Gary Hall</w:t>
        <w:tab/>
        <w:tab/>
        <w:t>Pearland</w:t>
        <w:tab/>
        <w:t>Office:  (281) 652-2214</w:t>
      </w:r>
    </w:p>
    <w:p>
      <w:pPr>
        <w:pStyle w:val="Normal"/>
        <w:tabs>
          <w:tab w:val="clear" w:pos="720"/>
          <w:tab w:val="left" w:pos="1080" w:leader="none"/>
        </w:tabs>
        <w:spacing w:lineRule="exact" w:line="240"/>
        <w:ind w:end="-288"/>
        <w:jc w:val="both"/>
        <w:rPr>
          <w:rFonts w:ascii="Arial" w:hAnsi="Arial" w:cs="Arial"/>
          <w:sz w:val="22"/>
        </w:rPr>
      </w:pPr>
      <w:r>
        <w:rPr>
          <w:rFonts w:cs="Arial" w:ascii="Arial" w:hAnsi="Arial"/>
          <w:sz w:val="22"/>
        </w:rPr>
        <w:tab/>
        <w:tab/>
        <w:tab/>
        <w:tab/>
        <w:tab/>
        <w:tab/>
        <w:t>Mobile: (713) 252-6988</w:t>
      </w:r>
    </w:p>
    <w:p>
      <w:pPr>
        <w:pStyle w:val="BodyText"/>
        <w:spacing w:lineRule="auto" w:line="240"/>
        <w:rPr/>
      </w:pPr>
      <w:r>
        <w:rPr/>
        <w:tab/>
        <w:tab/>
        <w:tab/>
        <w:tab/>
        <w:tab/>
        <w:tab/>
        <w:tab/>
        <w:t>Pager:  (281) 490-5572</w:t>
      </w:r>
    </w:p>
    <w:p>
      <w:pPr>
        <w:pStyle w:val="BodyText"/>
        <w:spacing w:lineRule="auto" w:line="360"/>
        <w:rPr/>
      </w:pPr>
      <w:r>
        <w:rPr/>
      </w:r>
    </w:p>
    <w:p>
      <w:pPr>
        <w:pStyle w:val="BodyText"/>
        <w:spacing w:lineRule="auto" w:line="360"/>
        <w:ind w:end="0"/>
        <w:rPr/>
      </w:pPr>
      <w:r>
        <w:rPr/>
        <w:t>In the event Grantor or its agents, contractors or invitees need to cross over or along the pipeline facilities, Grantee reserves the right to require the agent, contractor or invitee to furnish and install temporary matting and/or earthen fill over the pipeline facilities in order to protect the pipeline facilities from heavy equipment loads.</w:t>
      </w:r>
    </w:p>
    <w:p>
      <w:pPr>
        <w:pStyle w:val="BodyText"/>
        <w:spacing w:lineRule="auto" w:line="360"/>
        <w:ind w:end="0"/>
        <w:rPr/>
      </w:pPr>
      <w:r>
        <w:rPr/>
        <w:tab/>
        <w:t>7.  Grantor shall not alter the grade, or permit such alteration, anywhere on the Easement Area without the prior express written consent of Grantee.  Grantor shall be solely responsible for, and shall bear the expense of repairs attributable to, any loss of subjacent or lateral support for Grantee's pipeline facilities or Easement Area caused by Grantor's activities on or adjacent to the Easement Area.</w:t>
      </w:r>
    </w:p>
    <w:p>
      <w:pPr>
        <w:pStyle w:val="BodyText"/>
        <w:spacing w:lineRule="auto" w:line="360"/>
        <w:ind w:end="0"/>
        <w:rPr/>
      </w:pPr>
      <w:r>
        <w:rPr/>
        <w:tab/>
        <w:t>8. All repair and maintenance work performed by the Grantee on its pipeline facilities located within the Easement Area shall be performed in a reasonable workmanlike manner and Grantee shall restore the surface and grade of the Easement Area where the work is performed.</w:t>
      </w:r>
    </w:p>
    <w:p>
      <w:pPr>
        <w:pStyle w:val="Normal"/>
        <w:tabs>
          <w:tab w:val="clear" w:pos="720"/>
          <w:tab w:val="left" w:pos="540" w:leader="none"/>
          <w:tab w:val="left" w:pos="900" w:leader="none"/>
        </w:tabs>
        <w:spacing w:lineRule="auto" w:line="360"/>
        <w:jc w:val="both"/>
        <w:rPr/>
      </w:pPr>
      <w:r>
        <w:rPr>
          <w:rFonts w:cs="Arial" w:ascii="Arial" w:hAnsi="Arial"/>
          <w:sz w:val="22"/>
        </w:rPr>
        <w:tab/>
      </w:r>
      <w:r>
        <w:rPr>
          <w:rFonts w:cs="Arial" w:ascii="Arial" w:hAnsi="Arial"/>
          <w:b/>
          <w:sz w:val="22"/>
        </w:rPr>
        <w:t xml:space="preserve">9. Grantor does hereby agree to indemnify, protect, and hold Grantee, its parent, affiliates, subsidiaries, and their directors, officers, employees, representatives, and agents harmless from and against any and all actions or causes of action, claims, demands, liabilities, loss, damage, injury, suit, proceeding, judgment, cost (including the cost or expense of environmental response, removal or remediation activities) or expense of whatever kind or nature, including but not limited to reasonable attorneys’ fees, arising from any incident, act, action, cause of action, negligence, transaction or omission of Grantor, its employees, agents, invitees, or licensees in connection with, or incidental to, the use of the Easement Area and specifically with respect to Grantee's express restrictions herein with respect to construction or excavation activities on or adjacent to the Easement Area, except where such loss, cost, liability, or expense was proximately caused solely by the gross negligence of Grantee, its employees or agents. </w:t>
      </w:r>
    </w:p>
    <w:p>
      <w:pPr>
        <w:pStyle w:val="BodyText2"/>
        <w:ind w:end="0"/>
        <w:rPr>
          <w:rFonts w:ascii="Arial" w:hAnsi="Arial" w:cs="Arial"/>
          <w:b/>
          <w:sz w:val="22"/>
        </w:rPr>
      </w:pPr>
      <w:r>
        <w:rPr>
          <w:rFonts w:cs="Arial" w:ascii="Arial" w:hAnsi="Arial"/>
          <w:b/>
          <w:sz w:val="22"/>
        </w:rPr>
        <w:t>Grantee does hereby agree to indemnify, protect, and hold Grantor harmless from and against any and all actions or causes of action, claims, demands, liabilities, loss, damage, injury, suit, proceeding, judgment, cost (including the cost or expense of environmental response, removal or remediation activities) or expense of whatever kind or nature, including but not limited to reasonable attorneys’ fees, arising from any incident, act, action, cause of action, negligence, transaction or omission of Grantee, its employees, agents, invitees, or licensees in connection with, or incidental to, the use of the Easement Area, except where such loss, cost, liability, or expense was proximately caused solely by the gross negligence of Grantor or its agents.</w:t>
      </w:r>
    </w:p>
    <w:p>
      <w:pPr>
        <w:pStyle w:val="BodyText2"/>
        <w:ind w:end="0"/>
        <w:rPr>
          <w:rFonts w:ascii="Arial" w:hAnsi="Arial" w:cs="Arial"/>
          <w:sz w:val="22"/>
        </w:rPr>
      </w:pPr>
      <w:r>
        <w:rPr>
          <w:rFonts w:cs="Arial" w:ascii="Arial" w:hAnsi="Arial"/>
          <w:sz w:val="22"/>
        </w:rPr>
        <w:t>10.  This Agreement and the rights and obligations thereunder may be assigned, in whole or in part, by Grantee.</w:t>
      </w:r>
    </w:p>
    <w:p>
      <w:pPr>
        <w:pStyle w:val="BodyText2"/>
        <w:ind w:end="0"/>
        <w:rPr>
          <w:rFonts w:ascii="Arial" w:hAnsi="Arial" w:cs="Arial"/>
          <w:sz w:val="22"/>
        </w:rPr>
      </w:pPr>
      <w:r>
        <w:rPr>
          <w:rFonts w:cs="Arial" w:ascii="Arial" w:hAnsi="Arial"/>
          <w:sz w:val="22"/>
        </w:rPr>
        <w:t>TO HAVE AND TO HOLD the said easement unto Grantee, its successors and assigns, for the purposes herein granted and upon the terms and conditions herein set forth.  All of the terms and conditions hereof shall be binding upon and inure to the benefit of Grantor and Grantee and their respective successors and assigns.  This instrument and the covenants and agreements herein contained shall extend to and be binding upon the successors and assigns of Grantor and Grantee and the rights, benefits and obligations of this Agreement shall run with the land.</w:t>
      </w:r>
    </w:p>
    <w:p>
      <w:pPr>
        <w:pStyle w:val="BodyText2"/>
        <w:rPr>
          <w:rFonts w:ascii="Arial" w:hAnsi="Arial" w:cs="Arial"/>
          <w:sz w:val="22"/>
        </w:rPr>
      </w:pPr>
      <w:r>
        <w:rPr>
          <w:rFonts w:cs="Arial" w:ascii="Arial" w:hAnsi="Arial"/>
          <w:sz w:val="22"/>
        </w:rPr>
        <w:t>Executed by Grantor and Grantee this ____ day of __________________, 2000.</w:t>
      </w:r>
    </w:p>
    <w:p>
      <w:pPr>
        <w:pStyle w:val="BodyText2"/>
        <w:rPr>
          <w:rFonts w:ascii="Arial" w:hAnsi="Arial" w:cs="Arial"/>
          <w:sz w:val="22"/>
        </w:rPr>
      </w:pPr>
      <w:r>
        <w:rPr>
          <w:rFonts w:cs="Arial" w:ascii="Arial" w:hAnsi="Arial"/>
          <w:sz w:val="22"/>
        </w:rPr>
      </w:r>
    </w:p>
    <w:p>
      <w:pPr>
        <w:pStyle w:val="Heading2"/>
        <w:widowControl/>
        <w:tabs>
          <w:tab w:val="left" w:pos="720" w:leader="none"/>
          <w:tab w:val="left" w:pos="2880" w:leader="none"/>
          <w:tab w:val="left" w:pos="4140" w:leader="none"/>
          <w:tab w:val="left" w:pos="5040" w:leader="none"/>
          <w:tab w:val="left" w:pos="7200" w:leader="none"/>
        </w:tabs>
        <w:spacing w:lineRule="auto" w:line="360"/>
        <w:rPr>
          <w:rFonts w:ascii="Arial" w:hAnsi="Arial" w:cs="Arial"/>
          <w:b/>
          <w:sz w:val="22"/>
        </w:rPr>
      </w:pPr>
      <w:r>
        <w:rPr>
          <w:rFonts w:cs="Arial" w:ascii="Arial" w:hAnsi="Arial"/>
          <w:b/>
          <w:sz w:val="22"/>
        </w:rPr>
        <w:t>GRANTEE</w:t>
        <w:tab/>
        <w:tab/>
        <w:tab/>
        <w:t>GRANTOR</w:t>
      </w:r>
    </w:p>
    <w:p>
      <w:pPr>
        <w:pStyle w:val="Normal"/>
        <w:tabs>
          <w:tab w:val="left" w:pos="720" w:leader="none"/>
          <w:tab w:val="left" w:pos="4140" w:leader="none"/>
          <w:tab w:val="left" w:pos="5760" w:leader="none"/>
          <w:tab w:val="left" w:pos="7200" w:leader="none"/>
        </w:tabs>
        <w:spacing w:lineRule="auto" w:line="360"/>
        <w:ind w:end="-806"/>
        <w:jc w:val="both"/>
        <w:rPr>
          <w:rFonts w:ascii="Arial" w:hAnsi="Arial" w:cs="Arial"/>
          <w:b/>
          <w:sz w:val="22"/>
        </w:rPr>
      </w:pPr>
      <w:r>
        <w:rPr>
          <w:rFonts w:cs="Arial" w:ascii="Arial" w:hAnsi="Arial"/>
          <w:b/>
          <w:sz w:val="22"/>
        </w:rPr>
      </w:r>
    </w:p>
    <w:p>
      <w:pPr>
        <w:pStyle w:val="Normal"/>
        <w:spacing w:lineRule="atLeast" w:line="240"/>
        <w:ind w:hanging="5040" w:start="5040" w:end="0"/>
        <w:jc w:val="both"/>
        <w:rPr>
          <w:rFonts w:ascii="Arial" w:hAnsi="Arial" w:cs="Arial"/>
          <w:sz w:val="22"/>
        </w:rPr>
      </w:pPr>
      <w:r>
        <w:rPr>
          <w:rFonts w:cs="Arial" w:ascii="Arial" w:hAnsi="Arial"/>
          <w:sz w:val="22"/>
        </w:rPr>
        <w:t>Houston Pipe Line Company</w:t>
        <w:tab/>
        <w:t>The Lubrizol Corporation</w:t>
      </w:r>
    </w:p>
    <w:p>
      <w:pPr>
        <w:pStyle w:val="Heading4"/>
        <w:widowControl/>
        <w:tabs>
          <w:tab w:val="left" w:pos="720" w:leader="none"/>
          <w:tab w:val="left" w:pos="4140" w:leader="none"/>
          <w:tab w:val="left" w:pos="4320" w:leader="none"/>
          <w:tab w:val="left" w:pos="4410" w:leader="none"/>
          <w:tab w:val="left" w:pos="5040" w:leader="none"/>
          <w:tab w:val="left" w:pos="5760" w:leader="none"/>
          <w:tab w:val="left" w:pos="7200" w:leader="none"/>
        </w:tabs>
        <w:rPr>
          <w:rFonts w:ascii="Arial" w:hAnsi="Arial" w:cs="Arial"/>
          <w:sz w:val="22"/>
        </w:rPr>
      </w:pPr>
      <w:r>
        <w:rPr>
          <w:rFonts w:cs="Arial" w:ascii="Arial" w:hAnsi="Arial"/>
          <w:sz w:val="22"/>
        </w:rPr>
        <w:tab/>
        <w:tab/>
        <w:tab/>
        <w:tab/>
        <w:tab/>
      </w:r>
    </w:p>
    <w:p>
      <w:pPr>
        <w:pStyle w:val="Heading4"/>
        <w:widowControl/>
        <w:tabs>
          <w:tab w:val="left" w:pos="720" w:leader="none"/>
          <w:tab w:val="left" w:pos="4140" w:leader="none"/>
          <w:tab w:val="left" w:pos="4320" w:leader="none"/>
          <w:tab w:val="left" w:pos="4410" w:leader="none"/>
          <w:tab w:val="left" w:pos="5040" w:leader="none"/>
          <w:tab w:val="left" w:pos="5760" w:leader="none"/>
          <w:tab w:val="left" w:pos="7200" w:leader="none"/>
        </w:tabs>
        <w:rPr>
          <w:rFonts w:ascii="Arial" w:hAnsi="Arial" w:cs="Arial"/>
          <w:sz w:val="22"/>
        </w:rPr>
      </w:pPr>
      <w:r>
        <w:rPr>
          <w:rFonts w:cs="Arial" w:ascii="Arial" w:hAnsi="Arial"/>
          <w:sz w:val="22"/>
        </w:rPr>
        <w:tab/>
        <w:tab/>
        <w:tab/>
        <w:tab/>
        <w:tab/>
      </w:r>
    </w:p>
    <w:p>
      <w:pPr>
        <w:pStyle w:val="Normal"/>
        <w:tabs>
          <w:tab w:val="left" w:pos="720" w:leader="none"/>
          <w:tab w:val="left" w:pos="4140" w:leader="none"/>
          <w:tab w:val="left" w:pos="5040" w:leader="none"/>
          <w:tab w:val="left" w:pos="5760" w:leader="none"/>
          <w:tab w:val="left" w:pos="7200" w:leader="none"/>
        </w:tabs>
        <w:spacing w:lineRule="auto" w:line="360"/>
        <w:ind w:end="-806"/>
        <w:jc w:val="both"/>
        <w:rPr>
          <w:rFonts w:ascii="Arial" w:hAnsi="Arial" w:cs="Arial"/>
          <w:sz w:val="22"/>
        </w:rPr>
      </w:pPr>
      <w:r>
        <w:rPr>
          <w:rFonts w:cs="Arial" w:ascii="Arial" w:hAnsi="Arial"/>
          <w:sz w:val="22"/>
        </w:rPr>
        <w:tab/>
        <w:tab/>
        <w:tab/>
      </w:r>
    </w:p>
    <w:p>
      <w:pPr>
        <w:pStyle w:val="Normal"/>
        <w:tabs>
          <w:tab w:val="left" w:pos="720" w:leader="none"/>
          <w:tab w:val="left" w:pos="4140" w:leader="none"/>
          <w:tab w:val="left" w:pos="5040" w:leader="none"/>
          <w:tab w:val="left" w:pos="5760" w:leader="none"/>
          <w:tab w:val="left" w:pos="7200" w:leader="none"/>
        </w:tabs>
        <w:spacing w:lineRule="auto" w:line="360"/>
        <w:ind w:end="-806"/>
        <w:jc w:val="both"/>
        <w:rPr>
          <w:rFonts w:ascii="Arial" w:hAnsi="Arial" w:cs="Arial"/>
          <w:sz w:val="22"/>
        </w:rPr>
      </w:pPr>
      <w:r>
        <w:rPr>
          <w:rFonts w:cs="Arial" w:ascii="Arial" w:hAnsi="Arial"/>
          <w:sz w:val="22"/>
        </w:rPr>
        <w:t xml:space="preserve">______________________________               </w:t>
        <w:tab/>
        <w:t>________________________________</w:t>
      </w:r>
    </w:p>
    <w:p>
      <w:pPr>
        <w:pStyle w:val="Heading4"/>
        <w:widowControl/>
        <w:rPr>
          <w:rFonts w:ascii="Arial" w:hAnsi="Arial" w:cs="Arial"/>
          <w:sz w:val="22"/>
        </w:rPr>
      </w:pPr>
      <w:r>
        <w:rPr>
          <w:rFonts w:cs="Arial" w:ascii="Arial" w:hAnsi="Arial"/>
          <w:sz w:val="22"/>
        </w:rPr>
        <w:t>By:  Stephen C. Schneider</w:t>
        <w:tab/>
        <w:tab/>
        <w:t>By:   _________________</w:t>
      </w:r>
    </w:p>
    <w:p>
      <w:pPr>
        <w:pStyle w:val="Normal"/>
        <w:tabs>
          <w:tab w:val="left" w:pos="720" w:leader="none"/>
          <w:tab w:val="left" w:pos="4140" w:leader="none"/>
          <w:tab w:val="left" w:pos="5040" w:leader="none"/>
          <w:tab w:val="left" w:pos="5760" w:leader="none"/>
          <w:tab w:val="left" w:pos="7200" w:leader="none"/>
        </w:tabs>
        <w:ind w:end="-806"/>
        <w:jc w:val="both"/>
        <w:rPr>
          <w:rFonts w:ascii="Arial" w:hAnsi="Arial" w:cs="Arial"/>
          <w:sz w:val="22"/>
        </w:rPr>
      </w:pPr>
      <w:r>
        <w:rPr>
          <w:rFonts w:cs="Arial" w:ascii="Arial" w:hAnsi="Arial"/>
          <w:sz w:val="22"/>
        </w:rPr>
        <w:t>Title: Vice-President</w:t>
        <w:tab/>
        <w:tab/>
        <w:t>Title: _________________</w:t>
      </w:r>
    </w:p>
    <w:p>
      <w:pPr>
        <w:pStyle w:val="Normal"/>
        <w:tabs>
          <w:tab w:val="left" w:pos="720" w:leader="none"/>
          <w:tab w:val="left" w:pos="4140" w:leader="none"/>
          <w:tab w:val="left" w:pos="5040" w:leader="none"/>
          <w:tab w:val="left" w:pos="5760" w:leader="none"/>
          <w:tab w:val="left" w:pos="7200" w:leader="none"/>
        </w:tabs>
        <w:spacing w:lineRule="auto" w:line="360"/>
        <w:ind w:end="-806"/>
        <w:jc w:val="both"/>
        <w:rPr>
          <w:rFonts w:ascii="Arial" w:hAnsi="Arial" w:cs="Arial"/>
          <w:sz w:val="22"/>
        </w:rPr>
      </w:pPr>
      <w:r>
        <w:rPr>
          <w:rFonts w:cs="Arial" w:ascii="Arial" w:hAnsi="Arial"/>
          <w:sz w:val="22"/>
        </w:rPr>
      </w:r>
    </w:p>
    <w:p>
      <w:pPr>
        <w:pStyle w:val="Normal"/>
        <w:tabs>
          <w:tab w:val="left" w:pos="720" w:leader="none"/>
          <w:tab w:val="left" w:pos="4140" w:leader="none"/>
          <w:tab w:val="left" w:pos="5040" w:leader="none"/>
          <w:tab w:val="left" w:pos="5760" w:leader="none"/>
          <w:tab w:val="left" w:pos="7200" w:leader="none"/>
        </w:tabs>
        <w:spacing w:lineRule="auto" w:line="360"/>
        <w:ind w:end="-806"/>
        <w:jc w:val="both"/>
        <w:rPr>
          <w:rFonts w:ascii="Arial" w:hAnsi="Arial" w:cs="Arial"/>
          <w:sz w:val="22"/>
        </w:rPr>
      </w:pPr>
      <w:r>
        <w:rPr>
          <w:rFonts w:cs="Arial" w:ascii="Arial" w:hAnsi="Arial"/>
          <w:sz w:val="22"/>
        </w:rPr>
        <w:tab/>
        <w:tab/>
        <w:tab/>
      </w:r>
    </w:p>
    <w:p>
      <w:pPr>
        <w:pStyle w:val="Normal"/>
        <w:tabs>
          <w:tab w:val="left" w:pos="720" w:leader="none"/>
          <w:tab w:val="left" w:pos="4140" w:leader="none"/>
          <w:tab w:val="left" w:pos="5040" w:leader="none"/>
          <w:tab w:val="left" w:pos="5760" w:leader="none"/>
          <w:tab w:val="left" w:pos="7200" w:leader="none"/>
        </w:tabs>
        <w:spacing w:lineRule="auto" w:line="360"/>
        <w:ind w:end="-806"/>
        <w:jc w:val="both"/>
        <w:rPr>
          <w:rFonts w:ascii="Arial" w:hAnsi="Arial" w:cs="Arial"/>
          <w:sz w:val="22"/>
        </w:rPr>
      </w:pPr>
      <w:r>
        <w:rPr>
          <w:rFonts w:cs="Arial" w:ascii="Arial" w:hAnsi="Arial"/>
          <w:sz w:val="22"/>
        </w:rPr>
        <w:tab/>
        <w:tab/>
        <w:tab/>
      </w:r>
    </w:p>
    <w:p>
      <w:pPr>
        <w:pStyle w:val="Normal"/>
        <w:tabs>
          <w:tab w:val="left" w:pos="720" w:leader="none"/>
          <w:tab w:val="left" w:pos="4140" w:leader="none"/>
          <w:tab w:val="left" w:pos="5760" w:leader="none"/>
          <w:tab w:val="left" w:pos="7200" w:leader="none"/>
        </w:tabs>
        <w:spacing w:lineRule="auto" w:line="360"/>
        <w:ind w:end="-806"/>
        <w:jc w:val="both"/>
        <w:rPr>
          <w:rFonts w:ascii="Arial" w:hAnsi="Arial" w:cs="Arial"/>
          <w:sz w:val="22"/>
        </w:rPr>
      </w:pPr>
      <w:r>
        <w:rPr>
          <w:rFonts w:cs="Arial" w:ascii="Arial" w:hAnsi="Arial"/>
          <w:sz w:val="22"/>
        </w:rPr>
        <w:tab/>
        <w:tab/>
        <w:tab/>
      </w:r>
    </w:p>
    <w:p>
      <w:pPr>
        <w:pStyle w:val="Normal"/>
        <w:jc w:val="both"/>
        <w:rPr>
          <w:rFonts w:ascii="Arial" w:hAnsi="Arial" w:cs="Arial"/>
        </w:rPr>
      </w:pPr>
      <w:r>
        <w:rPr>
          <w:rFonts w:cs="Arial" w:ascii="Arial" w:hAnsi="Arial"/>
          <w:sz w:val="22"/>
        </w:rPr>
        <w:tab/>
        <w:tab/>
      </w:r>
      <w:r>
        <w:br w:type="page"/>
      </w:r>
    </w:p>
    <w:p>
      <w:pPr>
        <w:pStyle w:val="Normal"/>
        <w:tabs>
          <w:tab w:val="left" w:pos="720" w:leader="none"/>
          <w:tab w:val="left" w:pos="4140" w:leader="none"/>
          <w:tab w:val="left" w:pos="5760" w:leader="none"/>
          <w:tab w:val="left" w:pos="7200" w:leader="none"/>
        </w:tabs>
        <w:ind w:end="-806"/>
        <w:jc w:val="both"/>
        <w:rPr>
          <w:rFonts w:ascii="Arial" w:hAnsi="Arial" w:cs="Arial"/>
          <w:sz w:val="22"/>
        </w:rPr>
      </w:pPr>
      <w:r>
        <w:rPr>
          <w:rFonts w:cs="Arial" w:ascii="Arial" w:hAnsi="Arial"/>
          <w:sz w:val="22"/>
        </w:rPr>
      </w:r>
    </w:p>
    <w:p>
      <w:pPr>
        <w:pStyle w:val="Normal"/>
        <w:tabs>
          <w:tab w:val="left" w:pos="720" w:leader="none"/>
          <w:tab w:val="left" w:pos="2880" w:leader="none"/>
          <w:tab w:val="left" w:pos="3600" w:leader="none"/>
          <w:tab w:val="left" w:pos="5760" w:leader="none"/>
          <w:tab w:val="left" w:pos="7200" w:leader="none"/>
        </w:tabs>
        <w:ind w:end="-806"/>
        <w:jc w:val="both"/>
        <w:rPr>
          <w:rFonts w:ascii="Arial" w:hAnsi="Arial" w:cs="Arial"/>
          <w:sz w:val="22"/>
        </w:rPr>
      </w:pPr>
      <w:r>
        <w:rPr>
          <w:rFonts w:cs="Arial" w:ascii="Arial" w:hAnsi="Arial"/>
          <w:sz w:val="22"/>
        </w:rPr>
        <w:t>STATE OF TEXAS</w:t>
        <w:tab/>
        <w:t>§</w:t>
      </w:r>
    </w:p>
    <w:p>
      <w:pPr>
        <w:pStyle w:val="Normal"/>
        <w:tabs>
          <w:tab w:val="left" w:pos="720" w:leader="none"/>
          <w:tab w:val="left" w:pos="2880" w:leader="none"/>
          <w:tab w:val="left" w:pos="5760" w:leader="none"/>
          <w:tab w:val="left" w:pos="7200" w:leader="none"/>
        </w:tabs>
        <w:ind w:end="-806"/>
        <w:jc w:val="both"/>
        <w:rPr>
          <w:rFonts w:ascii="Arial" w:hAnsi="Arial" w:cs="Arial"/>
          <w:sz w:val="22"/>
        </w:rPr>
      </w:pPr>
      <w:r>
        <w:rPr>
          <w:rFonts w:cs="Arial" w:ascii="Arial" w:hAnsi="Arial"/>
          <w:sz w:val="22"/>
        </w:rPr>
        <w:tab/>
        <w:tab/>
        <w:t>§</w:t>
      </w:r>
    </w:p>
    <w:p>
      <w:pPr>
        <w:pStyle w:val="Heading4"/>
        <w:widowControl/>
        <w:tabs>
          <w:tab w:val="clear" w:pos="4140"/>
          <w:tab w:val="clear" w:pos="5040"/>
          <w:tab w:val="left" w:pos="720" w:leader="none"/>
          <w:tab w:val="left" w:pos="2880" w:leader="none"/>
          <w:tab w:val="left" w:pos="5760" w:leader="none"/>
          <w:tab w:val="left" w:pos="7200" w:leader="none"/>
        </w:tabs>
        <w:rPr>
          <w:rFonts w:ascii="Arial" w:hAnsi="Arial" w:cs="Arial"/>
          <w:sz w:val="22"/>
        </w:rPr>
      </w:pPr>
      <w:r>
        <w:rPr>
          <w:rFonts w:cs="Arial" w:ascii="Arial" w:hAnsi="Arial"/>
          <w:sz w:val="22"/>
        </w:rPr>
        <w:t>COUNTY OF HARRIS</w:t>
        <w:tab/>
        <w:t>§</w:t>
      </w:r>
    </w:p>
    <w:p>
      <w:pPr>
        <w:pStyle w:val="Normal"/>
        <w:tabs>
          <w:tab w:val="left" w:pos="720" w:leader="none"/>
          <w:tab w:val="left" w:pos="5760" w:leader="none"/>
          <w:tab w:val="left" w:pos="7200" w:leader="none"/>
        </w:tabs>
        <w:ind w:end="-806"/>
        <w:jc w:val="both"/>
        <w:rPr>
          <w:rFonts w:ascii="Arial" w:hAnsi="Arial" w:cs="Arial"/>
          <w:sz w:val="22"/>
        </w:rPr>
      </w:pPr>
      <w:r>
        <w:rPr>
          <w:rFonts w:cs="Arial" w:ascii="Arial" w:hAnsi="Arial"/>
          <w:sz w:val="22"/>
        </w:rPr>
      </w:r>
    </w:p>
    <w:p>
      <w:pPr>
        <w:pStyle w:val="Normal"/>
        <w:tabs>
          <w:tab w:val="left" w:pos="720" w:leader="none"/>
          <w:tab w:val="left" w:pos="1440" w:leader="none"/>
          <w:tab w:val="left" w:pos="5760" w:leader="none"/>
          <w:tab w:val="left" w:pos="7200" w:leader="none"/>
        </w:tabs>
        <w:ind w:end="-806"/>
        <w:jc w:val="both"/>
        <w:rPr>
          <w:rFonts w:ascii="Arial" w:hAnsi="Arial" w:cs="Arial"/>
          <w:sz w:val="22"/>
        </w:rPr>
      </w:pPr>
      <w:r>
        <w:rPr>
          <w:rFonts w:cs="Arial" w:ascii="Arial" w:hAnsi="Arial"/>
          <w:sz w:val="22"/>
        </w:rPr>
      </w:r>
    </w:p>
    <w:p>
      <w:pPr>
        <w:pStyle w:val="BodyText3"/>
        <w:tabs>
          <w:tab w:val="clear" w:pos="2880"/>
          <w:tab w:val="left" w:pos="720" w:leader="none"/>
          <w:tab w:val="left" w:pos="1440" w:leader="none"/>
          <w:tab w:val="left" w:pos="5760" w:leader="none"/>
          <w:tab w:val="left" w:pos="7200" w:leader="none"/>
        </w:tabs>
        <w:spacing w:lineRule="auto" w:line="240"/>
        <w:rPr>
          <w:rFonts w:ascii="Arial" w:hAnsi="Arial" w:cs="Arial"/>
          <w:sz w:val="22"/>
        </w:rPr>
      </w:pPr>
      <w:r>
        <w:rPr>
          <w:rFonts w:cs="Arial" w:ascii="Arial" w:hAnsi="Arial"/>
          <w:sz w:val="22"/>
        </w:rPr>
        <w:tab/>
        <w:tab/>
        <w:t>THIS INSTRUMENT was acknowledged before me on the _____ day of __________________, 2000 by Stephen C. Schneider, Vice-President of Houston Pipe Line Company, a Delaware corporation, on behalf of said corporation.</w:t>
      </w:r>
    </w:p>
    <w:p>
      <w:pPr>
        <w:pStyle w:val="Normal"/>
        <w:tabs>
          <w:tab w:val="left" w:pos="720" w:leader="none"/>
          <w:tab w:val="left" w:pos="5760" w:leader="none"/>
          <w:tab w:val="left" w:pos="7200" w:leader="none"/>
        </w:tabs>
        <w:ind w:end="-806"/>
        <w:jc w:val="both"/>
        <w:rPr>
          <w:rFonts w:ascii="Arial" w:hAnsi="Arial" w:cs="Arial"/>
          <w:sz w:val="22"/>
        </w:rPr>
      </w:pPr>
      <w:r>
        <w:rPr>
          <w:rFonts w:cs="Arial" w:ascii="Arial" w:hAnsi="Arial"/>
          <w:sz w:val="22"/>
        </w:rPr>
      </w:r>
    </w:p>
    <w:p>
      <w:pPr>
        <w:pStyle w:val="Normal"/>
        <w:tabs>
          <w:tab w:val="left" w:pos="720" w:leader="none"/>
          <w:tab w:val="left" w:pos="4320" w:leader="none"/>
          <w:tab w:val="left" w:pos="5760" w:leader="none"/>
          <w:tab w:val="left" w:pos="7200" w:leader="none"/>
        </w:tabs>
        <w:ind w:end="-806"/>
        <w:jc w:val="both"/>
        <w:rPr>
          <w:rFonts w:ascii="Arial" w:hAnsi="Arial" w:cs="Arial"/>
          <w:sz w:val="22"/>
        </w:rPr>
      </w:pPr>
      <w:r>
        <w:rPr>
          <w:rFonts w:cs="Arial" w:ascii="Arial" w:hAnsi="Arial"/>
          <w:sz w:val="22"/>
        </w:rPr>
        <w:tab/>
        <w:tab/>
      </w:r>
    </w:p>
    <w:p>
      <w:pPr>
        <w:pStyle w:val="Normal"/>
        <w:tabs>
          <w:tab w:val="left" w:pos="720" w:leader="none"/>
          <w:tab w:val="left" w:pos="4320" w:leader="none"/>
          <w:tab w:val="left" w:pos="5760" w:leader="none"/>
          <w:tab w:val="left" w:pos="7200" w:leader="none"/>
        </w:tabs>
        <w:ind w:end="-806"/>
        <w:jc w:val="both"/>
        <w:rPr>
          <w:rFonts w:ascii="Arial" w:hAnsi="Arial" w:cs="Arial"/>
          <w:sz w:val="22"/>
        </w:rPr>
      </w:pPr>
      <w:r>
        <w:rPr>
          <w:rFonts w:cs="Arial" w:ascii="Arial" w:hAnsi="Arial"/>
          <w:sz w:val="22"/>
        </w:rPr>
      </w:r>
    </w:p>
    <w:p>
      <w:pPr>
        <w:pStyle w:val="Normal"/>
        <w:tabs>
          <w:tab w:val="left" w:pos="720" w:leader="none"/>
          <w:tab w:val="left" w:pos="4320" w:leader="none"/>
          <w:tab w:val="left" w:pos="5760" w:leader="none"/>
          <w:tab w:val="left" w:pos="7200" w:leader="none"/>
        </w:tabs>
        <w:ind w:end="-806"/>
        <w:jc w:val="both"/>
        <w:rPr>
          <w:rFonts w:ascii="Arial" w:hAnsi="Arial" w:cs="Arial"/>
          <w:sz w:val="22"/>
        </w:rPr>
      </w:pPr>
      <w:r>
        <w:rPr>
          <w:rFonts w:cs="Arial" w:ascii="Arial" w:hAnsi="Arial"/>
          <w:sz w:val="22"/>
        </w:rPr>
        <w:tab/>
        <w:tab/>
        <w:t>____________________________________</w:t>
      </w:r>
    </w:p>
    <w:p>
      <w:pPr>
        <w:pStyle w:val="Normal"/>
        <w:tabs>
          <w:tab w:val="left" w:pos="720" w:leader="none"/>
          <w:tab w:val="left" w:pos="4320" w:leader="none"/>
          <w:tab w:val="left" w:pos="5760" w:leader="none"/>
          <w:tab w:val="left" w:pos="7200" w:leader="none"/>
        </w:tabs>
        <w:ind w:end="-806"/>
        <w:jc w:val="both"/>
        <w:rPr>
          <w:rFonts w:ascii="Arial" w:hAnsi="Arial" w:cs="Arial"/>
          <w:sz w:val="22"/>
        </w:rPr>
      </w:pPr>
      <w:r>
        <w:rPr>
          <w:rFonts w:cs="Arial" w:ascii="Arial" w:hAnsi="Arial"/>
          <w:sz w:val="22"/>
        </w:rPr>
        <w:tab/>
        <w:tab/>
        <w:t>Notary Public in and for the State of Texas</w:t>
      </w:r>
    </w:p>
    <w:p>
      <w:pPr>
        <w:pStyle w:val="Normal"/>
        <w:tabs>
          <w:tab w:val="left" w:pos="720" w:leader="none"/>
          <w:tab w:val="left" w:pos="5760" w:leader="none"/>
          <w:tab w:val="left" w:pos="7200" w:leader="none"/>
        </w:tabs>
        <w:ind w:end="-806"/>
        <w:jc w:val="both"/>
        <w:rPr>
          <w:rFonts w:ascii="Arial" w:hAnsi="Arial" w:cs="Arial"/>
          <w:sz w:val="22"/>
        </w:rPr>
      </w:pPr>
      <w:r>
        <w:rPr>
          <w:rFonts w:cs="Arial" w:ascii="Arial" w:hAnsi="Arial"/>
          <w:sz w:val="22"/>
        </w:rPr>
      </w:r>
    </w:p>
    <w:p>
      <w:pPr>
        <w:pStyle w:val="Normal"/>
        <w:tabs>
          <w:tab w:val="left" w:pos="720" w:leader="none"/>
          <w:tab w:val="left" w:pos="5760" w:leader="none"/>
          <w:tab w:val="left" w:pos="7200" w:leader="none"/>
        </w:tabs>
        <w:ind w:end="-806"/>
        <w:jc w:val="both"/>
        <w:rPr>
          <w:rFonts w:ascii="Arial" w:hAnsi="Arial" w:cs="Arial"/>
          <w:sz w:val="22"/>
        </w:rPr>
      </w:pPr>
      <w:r>
        <w:rPr>
          <w:rFonts w:cs="Arial" w:ascii="Arial" w:hAnsi="Arial"/>
          <w:sz w:val="22"/>
        </w:rPr>
        <w:tab/>
      </w:r>
    </w:p>
    <w:p>
      <w:pPr>
        <w:pStyle w:val="Normal"/>
        <w:tabs>
          <w:tab w:val="left" w:pos="720" w:leader="none"/>
          <w:tab w:val="left" w:pos="2880" w:leader="none"/>
          <w:tab w:val="left" w:pos="3600" w:leader="none"/>
          <w:tab w:val="left" w:pos="5760" w:leader="none"/>
          <w:tab w:val="left" w:pos="7200" w:leader="none"/>
        </w:tabs>
        <w:ind w:end="-806"/>
        <w:jc w:val="both"/>
        <w:rPr>
          <w:rFonts w:ascii="Arial" w:hAnsi="Arial" w:cs="Arial"/>
          <w:sz w:val="22"/>
        </w:rPr>
      </w:pPr>
      <w:r>
        <w:rPr>
          <w:rFonts w:cs="Arial" w:ascii="Arial" w:hAnsi="Arial"/>
          <w:sz w:val="22"/>
        </w:rPr>
        <w:t>STATE OF TEXAS</w:t>
        <w:tab/>
        <w:tab/>
        <w:t>§</w:t>
      </w:r>
    </w:p>
    <w:p>
      <w:pPr>
        <w:pStyle w:val="Normal"/>
        <w:tabs>
          <w:tab w:val="left" w:pos="720" w:leader="none"/>
          <w:tab w:val="left" w:pos="2880" w:leader="none"/>
          <w:tab w:val="left" w:pos="3600" w:leader="none"/>
          <w:tab w:val="left" w:pos="5760" w:leader="none"/>
          <w:tab w:val="left" w:pos="7200" w:leader="none"/>
        </w:tabs>
        <w:ind w:end="-806"/>
        <w:jc w:val="both"/>
        <w:rPr>
          <w:rFonts w:ascii="Arial" w:hAnsi="Arial" w:cs="Arial"/>
          <w:sz w:val="22"/>
        </w:rPr>
      </w:pPr>
      <w:r>
        <w:rPr>
          <w:rFonts w:cs="Arial" w:ascii="Arial" w:hAnsi="Arial"/>
          <w:sz w:val="22"/>
        </w:rPr>
        <w:tab/>
        <w:tab/>
        <w:tab/>
        <w:t>§</w:t>
      </w:r>
    </w:p>
    <w:p>
      <w:pPr>
        <w:pStyle w:val="Normal"/>
        <w:tabs>
          <w:tab w:val="left" w:pos="720" w:leader="none"/>
          <w:tab w:val="left" w:pos="2880" w:leader="none"/>
          <w:tab w:val="left" w:pos="3600" w:leader="none"/>
          <w:tab w:val="left" w:pos="5760" w:leader="none"/>
          <w:tab w:val="left" w:pos="7200" w:leader="none"/>
        </w:tabs>
        <w:ind w:end="-806"/>
        <w:jc w:val="both"/>
        <w:rPr>
          <w:rFonts w:ascii="Arial" w:hAnsi="Arial" w:cs="Arial"/>
          <w:sz w:val="22"/>
        </w:rPr>
      </w:pPr>
      <w:r>
        <w:rPr>
          <w:rFonts w:cs="Arial" w:ascii="Arial" w:hAnsi="Arial"/>
          <w:sz w:val="22"/>
        </w:rPr>
        <w:t>COUNTY OF __________________</w:t>
        <w:tab/>
        <w:t>§</w:t>
      </w:r>
    </w:p>
    <w:p>
      <w:pPr>
        <w:pStyle w:val="Normal"/>
        <w:tabs>
          <w:tab w:val="left" w:pos="720" w:leader="none"/>
          <w:tab w:val="left" w:pos="5760" w:leader="none"/>
          <w:tab w:val="left" w:pos="7200" w:leader="none"/>
        </w:tabs>
        <w:ind w:end="-806"/>
        <w:jc w:val="both"/>
        <w:rPr>
          <w:rFonts w:ascii="Arial" w:hAnsi="Arial" w:cs="Arial"/>
          <w:sz w:val="22"/>
        </w:rPr>
      </w:pPr>
      <w:r>
        <w:rPr>
          <w:rFonts w:cs="Arial" w:ascii="Arial" w:hAnsi="Arial"/>
          <w:sz w:val="22"/>
        </w:rPr>
      </w:r>
    </w:p>
    <w:p>
      <w:pPr>
        <w:pStyle w:val="Normal"/>
        <w:tabs>
          <w:tab w:val="left" w:pos="720" w:leader="none"/>
          <w:tab w:val="left" w:pos="1440" w:leader="none"/>
          <w:tab w:val="left" w:pos="5760" w:leader="none"/>
          <w:tab w:val="left" w:pos="7200" w:leader="none"/>
        </w:tabs>
        <w:ind w:end="-806"/>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ab/>
        <w:tab/>
        <w:t>THIS INSTRUMENT was acknowledged before me on the _____ day of _______________, 2000, by __________________________________, _____________________ of The Lubrizol Corporation, an Ohio corporation, on behalf of said corporation.</w:t>
      </w:r>
    </w:p>
    <w:p>
      <w:pPr>
        <w:pStyle w:val="BodyText3"/>
        <w:tabs>
          <w:tab w:val="clear" w:pos="2880"/>
          <w:tab w:val="left" w:pos="720" w:leader="none"/>
          <w:tab w:val="left" w:pos="1440" w:leader="none"/>
          <w:tab w:val="left" w:pos="5760" w:leader="none"/>
          <w:tab w:val="left" w:pos="7200" w:leader="none"/>
        </w:tabs>
        <w:spacing w:lineRule="auto" w:line="240"/>
        <w:rPr>
          <w:rFonts w:ascii="Arial" w:hAnsi="Arial" w:cs="Arial"/>
          <w:sz w:val="22"/>
        </w:rPr>
      </w:pPr>
      <w:r>
        <w:rPr>
          <w:rFonts w:cs="Arial" w:ascii="Arial" w:hAnsi="Arial"/>
          <w:sz w:val="22"/>
        </w:rPr>
      </w:r>
    </w:p>
    <w:p>
      <w:pPr>
        <w:pStyle w:val="Normal"/>
        <w:tabs>
          <w:tab w:val="left" w:pos="720" w:leader="none"/>
          <w:tab w:val="left" w:pos="5760" w:leader="none"/>
          <w:tab w:val="left" w:pos="7200" w:leader="none"/>
        </w:tabs>
        <w:ind w:end="-806"/>
        <w:jc w:val="both"/>
        <w:rPr>
          <w:rFonts w:ascii="Arial" w:hAnsi="Arial" w:cs="Arial"/>
          <w:sz w:val="22"/>
        </w:rPr>
      </w:pPr>
      <w:r>
        <w:rPr>
          <w:rFonts w:cs="Arial" w:ascii="Arial" w:hAnsi="Arial"/>
          <w:sz w:val="22"/>
        </w:rPr>
      </w:r>
    </w:p>
    <w:p>
      <w:pPr>
        <w:pStyle w:val="Normal"/>
        <w:tabs>
          <w:tab w:val="left" w:pos="720" w:leader="none"/>
          <w:tab w:val="left" w:pos="5760" w:leader="none"/>
          <w:tab w:val="left" w:pos="7200" w:leader="none"/>
        </w:tabs>
        <w:ind w:end="-806"/>
        <w:jc w:val="both"/>
        <w:rPr>
          <w:rFonts w:ascii="Arial" w:hAnsi="Arial" w:cs="Arial"/>
          <w:sz w:val="22"/>
        </w:rPr>
      </w:pPr>
      <w:r>
        <w:rPr>
          <w:rFonts w:cs="Arial" w:ascii="Arial" w:hAnsi="Arial"/>
          <w:sz w:val="22"/>
        </w:rPr>
      </w:r>
    </w:p>
    <w:p>
      <w:pPr>
        <w:pStyle w:val="Normal"/>
        <w:tabs>
          <w:tab w:val="left" w:pos="720" w:leader="none"/>
          <w:tab w:val="left" w:pos="4320" w:leader="none"/>
          <w:tab w:val="left" w:pos="5760" w:leader="none"/>
          <w:tab w:val="left" w:pos="7200" w:leader="none"/>
        </w:tabs>
        <w:ind w:end="-806"/>
        <w:jc w:val="both"/>
        <w:rPr>
          <w:rFonts w:ascii="Arial" w:hAnsi="Arial" w:cs="Arial"/>
          <w:sz w:val="22"/>
        </w:rPr>
      </w:pPr>
      <w:r>
        <w:rPr>
          <w:rFonts w:cs="Arial" w:ascii="Arial" w:hAnsi="Arial"/>
          <w:sz w:val="22"/>
        </w:rPr>
        <w:tab/>
        <w:tab/>
        <w:t>____________________________________</w:t>
      </w:r>
    </w:p>
    <w:p>
      <w:pPr>
        <w:pStyle w:val="Normal"/>
        <w:tabs>
          <w:tab w:val="left" w:pos="720" w:leader="none"/>
          <w:tab w:val="left" w:pos="4320" w:leader="none"/>
          <w:tab w:val="left" w:pos="5760" w:leader="none"/>
          <w:tab w:val="left" w:pos="7200" w:leader="none"/>
        </w:tabs>
        <w:ind w:end="-806"/>
        <w:jc w:val="both"/>
        <w:rPr>
          <w:rFonts w:ascii="Arial" w:hAnsi="Arial" w:cs="Arial"/>
          <w:sz w:val="22"/>
        </w:rPr>
      </w:pPr>
      <w:r>
        <w:rPr>
          <w:rFonts w:cs="Arial" w:ascii="Arial" w:hAnsi="Arial"/>
          <w:sz w:val="22"/>
        </w:rPr>
        <w:tab/>
        <w:tab/>
        <w:t>Notary Public in and for the State of Texas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r>
        <w:br w:type="page"/>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3"/>
        <w:widowControl/>
        <w:ind w:hanging="0" w:start="0"/>
        <w:rPr>
          <w:rFonts w:ascii="Arial" w:hAnsi="Arial" w:cs="Arial"/>
          <w:sz w:val="22"/>
        </w:rPr>
      </w:pPr>
      <w:r>
        <w:rPr>
          <w:rFonts w:cs="Arial" w:ascii="Arial" w:hAnsi="Arial"/>
          <w:sz w:val="22"/>
        </w:rPr>
        <w:t>EXHIBIT “A”</w:t>
      </w:r>
    </w:p>
    <w:p>
      <w:pPr>
        <w:pStyle w:val="Heading6"/>
        <w:ind w:hanging="0" w:start="0"/>
        <w:rPr>
          <w:rFonts w:ascii="Arial" w:hAnsi="Arial" w:cs="Arial"/>
          <w:sz w:val="22"/>
        </w:rPr>
      </w:pPr>
      <w:r>
        <w:rPr>
          <w:rFonts w:cs="Arial" w:ascii="Arial" w:hAnsi="Arial"/>
          <w:sz w:val="22"/>
        </w:rPr>
        <w:t>to Right of Way and Surface Easement Agreement</w:t>
      </w:r>
    </w:p>
    <w:p>
      <w:pPr>
        <w:pStyle w:val="Heading6"/>
        <w:ind w:hanging="0" w:start="0"/>
        <w:rPr>
          <w:rFonts w:ascii="Arial" w:hAnsi="Arial" w:cs="Arial"/>
          <w:sz w:val="22"/>
        </w:rPr>
      </w:pPr>
      <w:r>
        <w:rPr>
          <w:rFonts w:cs="Arial" w:ascii="Arial" w:hAnsi="Arial"/>
          <w:sz w:val="22"/>
        </w:rPr>
        <w:t>Description of Easement Area</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rPr>
      </w:pPr>
      <w:r>
        <w:rPr>
          <w:rFonts w:cs="Arial" w:ascii="Arial" w:hAnsi="Arial"/>
          <w:sz w:val="22"/>
        </w:rPr>
        <w:t>[Description needs to be set out a __-foot x __-foot surface site area easement for the Retained Meter Run and right of way for the retained pipeline plus any rights of ingress &amp; egress to access the site.]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headerReference w:type="default" r:id="rId2"/>
      <w:footerReference w:type="default" r:id="rId3"/>
      <w:type w:val="nextPage"/>
      <w:pgSz w:w="12240" w:h="15840"/>
      <w:pgMar w:left="1800" w:right="1800" w:gutter="0" w:header="864" w:top="1440" w:footer="86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o:common\legal\egillas\Lubrizol keep ready.doc</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w:t>
    </w:r>
    <w:r>
      <w:rPr>
        <w:i/>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both"/>
      <w:outlineLvl w:val="0"/>
    </w:pPr>
    <w:rPr>
      <w:rFonts w:ascii="Arial" w:hAnsi="Arial" w:cs="Arial"/>
      <w:b/>
    </w:rPr>
  </w:style>
  <w:style w:type="paragraph" w:styleId="Heading2">
    <w:name w:val="heading 2"/>
    <w:basedOn w:val="Normal"/>
    <w:next w:val="Normal"/>
    <w:qFormat/>
    <w:pPr>
      <w:keepNext w:val="true"/>
      <w:widowControl w:val="fals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widowControl w:val="false"/>
      <w:numPr>
        <w:ilvl w:val="2"/>
        <w:numId w:val="1"/>
      </w:numPr>
      <w:jc w:val="center"/>
      <w:outlineLvl w:val="2"/>
    </w:pPr>
    <w:rPr>
      <w:b/>
    </w:rPr>
  </w:style>
  <w:style w:type="paragraph" w:styleId="Heading4">
    <w:name w:val="heading 4"/>
    <w:basedOn w:val="Normal"/>
    <w:next w:val="Normal"/>
    <w:qFormat/>
    <w:pPr>
      <w:keepNext w:val="true"/>
      <w:widowControl w:val="false"/>
      <w:numPr>
        <w:ilvl w:val="3"/>
        <w:numId w:val="1"/>
      </w:numPr>
      <w:tabs>
        <w:tab w:val="left" w:pos="720" w:leader="none"/>
        <w:tab w:val="left" w:pos="4140" w:leader="none"/>
        <w:tab w:val="left" w:pos="5040" w:leader="none"/>
        <w:tab w:val="left" w:pos="5760" w:leader="none"/>
        <w:tab w:val="left" w:pos="7200" w:leader="none"/>
      </w:tabs>
      <w:ind w:hanging="0" w:start="0" w:end="-806"/>
      <w:jc w:val="both"/>
      <w:outlineLvl w:val="3"/>
    </w:pPr>
    <w:rPr>
      <w:sz w:val="24"/>
    </w:rPr>
  </w:style>
  <w:style w:type="paragraph" w:styleId="Heading5">
    <w:name w:val="heading 5"/>
    <w:basedOn w:val="Normal"/>
    <w:next w:val="Normal"/>
    <w:qFormat/>
    <w:pPr>
      <w:keepNext w:val="true"/>
      <w:widowControl w:val="false"/>
      <w:numPr>
        <w:ilvl w:val="4"/>
        <w:numId w:val="1"/>
      </w:numPr>
      <w:tabs>
        <w:tab w:val="left" w:pos="720" w:leader="none"/>
        <w:tab w:val="left" w:pos="1440" w:leader="none"/>
        <w:tab w:val="left" w:pos="7200" w:leader="none"/>
      </w:tabs>
      <w:spacing w:lineRule="auto" w:line="360"/>
      <w:ind w:hanging="0" w:start="0" w:end="-810"/>
      <w:jc w:val="center"/>
      <w:outlineLvl w:val="4"/>
    </w:pPr>
    <w:rPr>
      <w:b/>
      <w:sz w:val="28"/>
      <w:u w:val="single"/>
    </w:rPr>
  </w:style>
  <w:style w:type="paragraph" w:styleId="Heading6">
    <w:name w:val="heading 6"/>
    <w:basedOn w:val="Normal"/>
    <w:next w:val="Normal"/>
    <w:qFormat/>
    <w:pPr>
      <w:keepNext w:val="true"/>
      <w:numPr>
        <w:ilvl w:val="5"/>
        <w:numId w:val="1"/>
      </w:numPr>
      <w:jc w:val="center"/>
      <w:outlineLvl w:val="5"/>
    </w:pPr>
    <w:rPr>
      <w:sz w:val="24"/>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7200" w:leader="none"/>
      </w:tabs>
      <w:spacing w:lineRule="auto" w:line="360"/>
      <w:ind w:hanging="0" w:start="0" w:end="-810"/>
      <w:jc w:val="both"/>
      <w:outlineLvl w:val="6"/>
    </w:pPr>
    <w:rPr>
      <w:rFonts w:ascii="Arial" w:hAnsi="Arial" w:cs="Arial"/>
      <w:b/>
      <w:sz w:val="22"/>
    </w:rPr>
  </w:style>
  <w:style w:type="character" w:styleId="WW8Num1z0">
    <w:name w:val="WW8Num1z0"/>
    <w:qFormat/>
    <w:rPr>
      <w:rFonts w:ascii="Arial" w:hAnsi="Arial" w:cs="Arial"/>
      <w:b w:val="false"/>
      <w:i w:val="false"/>
      <w:sz w:val="20"/>
      <w:u w:val="none"/>
    </w:rPr>
  </w:style>
  <w:style w:type="character" w:styleId="WW8Num2z0">
    <w:name w:val="WW8Num2z0"/>
    <w:qFormat/>
    <w:rPr/>
  </w:style>
  <w:style w:type="character" w:styleId="WW8Num3z0">
    <w:name w:val="WW8Num3z0"/>
    <w:qFormat/>
    <w:rPr>
      <w:rFonts w:ascii="Arial" w:hAnsi="Arial" w:cs="Arial"/>
      <w:b w:val="false"/>
      <w:i w:val="false"/>
      <w:sz w:val="20"/>
      <w:u w:val="none"/>
    </w:rPr>
  </w:style>
  <w:style w:type="character" w:styleId="WW8Num4z0">
    <w:name w:val="WW8Num4z0"/>
    <w:qFormat/>
    <w:rPr>
      <w:rFonts w:ascii="Arial" w:hAnsi="Arial" w:cs="Arial"/>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2430" w:leader="none"/>
        <w:tab w:val="left" w:pos="-2340" w:leader="none"/>
        <w:tab w:val="left" w:pos="720" w:leader="none"/>
        <w:tab w:val="left" w:pos="1170" w:leader="none"/>
      </w:tabs>
      <w:spacing w:lineRule="exact" w:line="240"/>
      <w:ind w:hanging="0" w:start="0" w:end="-144"/>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360" w:start="360" w:end="0"/>
    </w:pPr>
    <w:rPr/>
  </w:style>
  <w:style w:type="paragraph" w:styleId="BodyText2">
    <w:name w:val="Body Text 2"/>
    <w:basedOn w:val="Normal"/>
    <w:qFormat/>
    <w:pPr>
      <w:widowControl w:val="false"/>
      <w:tabs>
        <w:tab w:val="clear" w:pos="720"/>
        <w:tab w:val="left" w:pos="0" w:leader="none"/>
        <w:tab w:val="left" w:pos="2880" w:leader="none"/>
        <w:tab w:val="left" w:pos="7200" w:leader="none"/>
      </w:tabs>
      <w:spacing w:lineRule="auto" w:line="360" w:before="0" w:after="120"/>
      <w:ind w:firstLine="72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uto" w:line="36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2000-03-31T12:03:00Z</dcterms:created>
  <dc:creator>appinst</dc:creator>
  <dc:description/>
  <dc:language>en-CA</dc:language>
  <cp:lastModifiedBy>Eric A. Gillaspie</cp:lastModifiedBy>
  <cp:lastPrinted>2000-04-04T16:40:00Z</cp:lastPrinted>
  <dcterms:modified xsi:type="dcterms:W3CDTF">2000-04-05T17:28:00Z</dcterms:modified>
  <cp:revision>38</cp:revision>
  <dc:subject/>
  <dc:title>DRAFT - Rev</dc:title>
</cp:coreProperties>
</file>