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6210" w:leader="none"/>
        </w:tabs>
        <w:rPr/>
      </w:pPr>
      <w:r>
        <w:rPr/>
      </w:r>
      <w:bookmarkStart w:id="0" w:name="LETTER"/>
      <w:bookmarkStart w:id="1" w:name="LETTER"/>
      <w:bookmarkEnd w:id="1"/>
    </w:p>
    <w:p>
      <w:pPr>
        <w:pStyle w:val="Normal"/>
        <w:tabs>
          <w:tab w:val="clear" w:pos="720"/>
          <w:tab w:val="left" w:pos="6210" w:leader="none"/>
        </w:tabs>
        <w:rPr/>
      </w:pPr>
      <w:r>
        <w:rPr/>
      </w:r>
    </w:p>
    <w:p>
      <w:pPr>
        <w:pStyle w:val="Normal"/>
        <w:tabs>
          <w:tab w:val="clear" w:pos="720"/>
          <w:tab w:val="left" w:pos="6210" w:leader="none"/>
        </w:tabs>
        <w:rPr>
          <w:sz w:val="20"/>
        </w:rPr>
      </w:pPr>
      <w:r>
        <w:rPr>
          <w:sz w:val="20"/>
        </w:rPr>
      </w:r>
    </w:p>
    <w:p>
      <w:pPr>
        <w:pStyle w:val="Normal"/>
        <w:tabs>
          <w:tab w:val="clear" w:pos="720"/>
          <w:tab w:val="left" w:pos="6681" w:leader="none"/>
        </w:tabs>
        <w:rPr>
          <w:b/>
          <w:spacing w:val="-20"/>
          <w:sz w:val="20"/>
        </w:rPr>
      </w:pPr>
      <w:r>
        <w:rPr>
          <w:b/>
          <w:spacing w:val="-20"/>
          <w:sz w:val="20"/>
        </w:rPr>
      </w:r>
      <w:r>
        <mc:AlternateContent>
          <mc:Choice Requires="wps">
            <w:drawing>
              <wp:anchor behindDoc="0" distT="0" distB="0" distL="114935" distR="114935" simplePos="0" locked="0" layoutInCell="1" allowOverlap="1" relativeHeight="4">
                <wp:simplePos x="0" y="0"/>
                <wp:positionH relativeFrom="column">
                  <wp:posOffset>0</wp:posOffset>
                </wp:positionH>
                <wp:positionV relativeFrom="paragraph">
                  <wp:posOffset>635</wp:posOffset>
                </wp:positionV>
                <wp:extent cx="3657600" cy="544195"/>
                <wp:effectExtent l="0" t="0" r="0" b="0"/>
                <wp:wrapNone/>
                <wp:docPr id="1" name="Frame1"/>
                <a:graphic xmlns:a="http://schemas.openxmlformats.org/drawingml/2006/main">
                  <a:graphicData uri="http://schemas.microsoft.com/office/word/2010/wordprocessingShape">
                    <wps:wsp>
                      <wps:cNvSpPr txBox="1"/>
                      <wps:spPr>
                        <a:xfrm>
                          <a:off x="0" y="0"/>
                          <a:ext cx="3657600" cy="544195"/>
                        </a:xfrm>
                        <a:prstGeom prst="rect"/>
                        <a:solidFill>
                          <a:srgbClr val="FFFFFF"/>
                        </a:solidFill>
                      </wps:spPr>
                      <wps:txbx>
                        <w:txbxContent>
                          <w:p>
                            <w:pPr>
                              <w:pStyle w:val="Normal"/>
                              <w:rPr>
                                <w:rFonts w:ascii="BCGLogo" w:hAnsi="BCGLogo" w:cs="BCGLogo"/>
                                <w:color w:val="000000"/>
                                <w:sz w:val="70"/>
                              </w:rPr>
                            </w:pPr>
                            <w:r>
                              <w:rPr>
                                <w:rFonts w:cs="BCGLogo" w:ascii="BCGLogo" w:hAnsi="BCGLogo"/>
                                <w:color w:val="000000"/>
                                <w:sz w:val="70"/>
                              </w:rPr>
                              <w:t>blake</w:t>
                            </w:r>
                          </w:p>
                        </w:txbxContent>
                      </wps:txbx>
                      <wps:bodyPr anchor="t" lIns="635" tIns="635" rIns="635" bIns="635">
                        <a:noAutofit/>
                      </wps:bodyPr>
                    </wps:wsp>
                  </a:graphicData>
                </a:graphic>
              </wp:anchor>
            </w:drawing>
          </mc:Choice>
          <mc:Fallback>
            <w:pict>
              <v:rect fillcolor="#FFFFFF" style="position:absolute;rotation:-0;width:288pt;height:42.85pt;mso-wrap-distance-left:9.05pt;mso-wrap-distance-right:9.05pt;mso-wrap-distance-top:0pt;mso-wrap-distance-bottom:0pt;margin-top:0pt;mso-position-vertical-relative:text;margin-left:0pt;mso-position-horizontal-relative:text">
                <v:textbox inset="0.000694444444444445in,0.000694444444444445in,0.000694444444444445in,0.000694444444444445in">
                  <w:txbxContent>
                    <w:p>
                      <w:pPr>
                        <w:pStyle w:val="Normal"/>
                        <w:rPr>
                          <w:rFonts w:ascii="BCGLogo" w:hAnsi="BCGLogo" w:cs="BCGLogo"/>
                          <w:color w:val="000000"/>
                          <w:sz w:val="70"/>
                        </w:rPr>
                      </w:pPr>
                      <w:r>
                        <w:rPr>
                          <w:rFonts w:cs="BCGLogo" w:ascii="BCGLogo" w:hAnsi="BCGLogo"/>
                          <w:color w:val="000000"/>
                          <w:sz w:val="70"/>
                        </w:rPr>
                        <w:t>blake</w:t>
                      </w:r>
                    </w:p>
                  </w:txbxContent>
                </v:textbox>
                <w10:wrap type="none"/>
              </v:rect>
            </w:pict>
          </mc:Fallback>
        </mc:AlternateContent>
      </w:r>
    </w:p>
    <w:p>
      <w:pPr>
        <w:pStyle w:val="Normal"/>
        <w:tabs>
          <w:tab w:val="clear" w:pos="720"/>
          <w:tab w:val="left" w:pos="6682" w:leader="none"/>
        </w:tabs>
        <w:rPr>
          <w:sz w:val="20"/>
        </w:rPr>
      </w:pPr>
      <w:r>
        <w:rPr>
          <w:sz w:val="20"/>
        </w:rPr>
      </w:r>
    </w:p>
    <w:p>
      <w:pPr>
        <w:pStyle w:val="Normal"/>
        <w:tabs>
          <w:tab w:val="clear" w:pos="720"/>
          <w:tab w:val="left" w:pos="6682" w:leader="none"/>
        </w:tabs>
        <w:rPr/>
      </w:pPr>
      <w:r>
        <w:rPr>
          <w:sz w:val="20"/>
        </w:rPr>
        <w:tab/>
      </w:r>
      <w:r>
        <w:rPr>
          <w:spacing w:val="-2"/>
          <w:sz w:val="20"/>
        </w:rPr>
        <w:t>Suite 2600, Three Bentall Centre</w:t>
      </w:r>
    </w:p>
    <w:p>
      <w:pPr>
        <w:pStyle w:val="Normal"/>
        <w:tabs>
          <w:tab w:val="clear" w:pos="720"/>
          <w:tab w:val="left" w:pos="6682" w:leader="none"/>
        </w:tabs>
        <w:rPr>
          <w:spacing w:val="-2"/>
          <w:sz w:val="20"/>
        </w:rPr>
      </w:pPr>
      <w:r>
        <w:rPr>
          <w:spacing w:val="-2"/>
          <w:sz w:val="20"/>
        </w:rPr>
        <w:tab/>
        <w:t>P.O. Box 49314</w:t>
      </w:r>
    </w:p>
    <w:p>
      <w:pPr>
        <w:pStyle w:val="Normal"/>
        <w:tabs>
          <w:tab w:val="clear" w:pos="720"/>
          <w:tab w:val="left" w:pos="6682" w:leader="none"/>
        </w:tabs>
        <w:rPr>
          <w:spacing w:val="-2"/>
          <w:sz w:val="20"/>
        </w:rPr>
      </w:pPr>
      <w:r>
        <w:rPr>
          <w:spacing w:val="-2"/>
          <w:sz w:val="20"/>
        </w:rPr>
        <w:tab/>
        <w:t>595 Burrard Street</w:t>
      </w:r>
    </w:p>
    <w:p>
      <w:pPr>
        <w:pStyle w:val="CommentText"/>
        <w:tabs>
          <w:tab w:val="clear" w:pos="720"/>
          <w:tab w:val="left" w:pos="6682" w:leader="none"/>
        </w:tabs>
        <w:spacing w:before="0" w:after="0"/>
        <w:ind w:end="-360"/>
        <w:rPr>
          <w:spacing w:val="-2"/>
        </w:rPr>
      </w:pPr>
      <w:r>
        <w:rPr>
          <w:spacing w:val="-2"/>
        </w:rPr>
        <w:tab/>
        <w:t>Vancouver, British Columbia, Canada</w:t>
      </w:r>
    </w:p>
    <w:p>
      <w:pPr>
        <w:pStyle w:val="Normal"/>
        <w:numPr>
          <w:ilvl w:val="0"/>
          <w:numId w:val="0"/>
        </w:numPr>
        <w:tabs>
          <w:tab w:val="clear" w:pos="720"/>
          <w:tab w:val="left" w:pos="6682" w:leader="none"/>
        </w:tabs>
        <w:outlineLvl w:val="0"/>
        <w:rPr>
          <w:spacing w:val="-2"/>
          <w:sz w:val="20"/>
        </w:rPr>
      </w:pPr>
      <w:r>
        <w:rPr>
          <w:spacing w:val="-2"/>
          <w:sz w:val="20"/>
        </w:rPr>
        <w:tab/>
        <w:t>V7X 1L3</w:t>
      </w:r>
    </w:p>
    <w:p>
      <w:pPr>
        <w:pStyle w:val="Normal"/>
        <w:rPr>
          <w:spacing w:val="-2"/>
          <w:sz w:val="20"/>
        </w:rPr>
      </w:pPr>
      <w:r>
        <w:rPr>
          <w:spacing w:val="-2"/>
          <w:sz w:val="20"/>
        </w:rPr>
      </w:r>
      <w:r>
        <mc:AlternateContent>
          <mc:Choice Requires="wps">
            <w:drawing>
              <wp:anchor behindDoc="0" distT="0" distB="0" distL="114935" distR="114935" simplePos="0" locked="0" layoutInCell="1" allowOverlap="1" relativeHeight="6">
                <wp:simplePos x="0" y="0"/>
                <wp:positionH relativeFrom="column">
                  <wp:posOffset>4243070</wp:posOffset>
                </wp:positionH>
                <wp:positionV relativeFrom="page">
                  <wp:posOffset>2002790</wp:posOffset>
                </wp:positionV>
                <wp:extent cx="1828800" cy="457200"/>
                <wp:effectExtent l="0" t="0" r="0" b="0"/>
                <wp:wrapNone/>
                <wp:docPr id="2" name="Frame2"/>
                <a:graphic xmlns:a="http://schemas.openxmlformats.org/drawingml/2006/main">
                  <a:graphicData uri="http://schemas.microsoft.com/office/word/2010/wordprocessingShape">
                    <wps:wsp>
                      <wps:cNvSpPr txBox="1"/>
                      <wps:spPr>
                        <a:xfrm>
                          <a:off x="0" y="0"/>
                          <a:ext cx="1828800" cy="457200"/>
                        </a:xfrm>
                        <a:prstGeom prst="rect"/>
                        <a:solidFill>
                          <a:srgbClr val="FFFFFF"/>
                        </a:solidFill>
                      </wps:spPr>
                      <wps:txbx>
                        <w:txbxContent>
                          <w:p>
                            <w:pPr>
                              <w:pStyle w:val="Normal"/>
                              <w:rPr>
                                <w:sz w:val="20"/>
                              </w:rPr>
                            </w:pPr>
                            <w:r>
                              <w:rPr>
                                <w:sz w:val="20"/>
                              </w:rPr>
                              <w:t>Telephone: 604.631.3300</w:t>
                            </w:r>
                          </w:p>
                          <w:p>
                            <w:pPr>
                              <w:pStyle w:val="Normal"/>
                              <w:rPr>
                                <w:sz w:val="20"/>
                              </w:rPr>
                            </w:pPr>
                            <w:r>
                              <w:rPr>
                                <w:sz w:val="20"/>
                              </w:rPr>
                              <w:t>Facsimile: 604.631.3309</w:t>
                            </w:r>
                          </w:p>
                          <w:p>
                            <w:pPr>
                              <w:pStyle w:val="Normal"/>
                              <w:rPr>
                                <w:sz w:val="20"/>
                              </w:rPr>
                            </w:pPr>
                            <w:r>
                              <w:rPr>
                                <w:sz w:val="20"/>
                              </w:rPr>
                              <w:t>www.blakes.com</w:t>
                            </w:r>
                          </w:p>
                        </w:txbxContent>
                      </wps:txbx>
                      <wps:bodyPr anchor="t" lIns="635" tIns="635" rIns="635" bIns="635">
                        <a:noAutofit/>
                      </wps:bodyPr>
                    </wps:wsp>
                  </a:graphicData>
                </a:graphic>
              </wp:anchor>
            </w:drawing>
          </mc:Choice>
          <mc:Fallback>
            <w:pict>
              <v:rect fillcolor="#FFFFFF" style="position:absolute;rotation:-0;width:144pt;height:36pt;mso-wrap-distance-left:9.05pt;mso-wrap-distance-right:9.05pt;mso-wrap-distance-top:0pt;mso-wrap-distance-bottom:0pt;margin-top:157.7pt;mso-position-vertical-relative:page;margin-left:334.1pt;mso-position-horizontal-relative:text">
                <v:textbox inset="0.000694444444444445in,0.000694444444444445in,0.000694444444444445in,0.000694444444444445in">
                  <w:txbxContent>
                    <w:p>
                      <w:pPr>
                        <w:pStyle w:val="Normal"/>
                        <w:rPr>
                          <w:sz w:val="20"/>
                        </w:rPr>
                      </w:pPr>
                      <w:r>
                        <w:rPr>
                          <w:sz w:val="20"/>
                        </w:rPr>
                        <w:t>Telephone: 604.631.3300</w:t>
                      </w:r>
                    </w:p>
                    <w:p>
                      <w:pPr>
                        <w:pStyle w:val="Normal"/>
                        <w:rPr>
                          <w:sz w:val="20"/>
                        </w:rPr>
                      </w:pPr>
                      <w:r>
                        <w:rPr>
                          <w:sz w:val="20"/>
                        </w:rPr>
                        <w:t>Facsimile: 604.631.3309</w:t>
                      </w:r>
                    </w:p>
                    <w:p>
                      <w:pPr>
                        <w:pStyle w:val="Normal"/>
                        <w:rPr>
                          <w:sz w:val="20"/>
                        </w:rPr>
                      </w:pPr>
                      <w:r>
                        <w:rPr>
                          <w:sz w:val="20"/>
                        </w:rPr>
                        <w:t>www.blakes.com</w:t>
                      </w:r>
                    </w:p>
                  </w:txbxContent>
                </v:textbox>
                <w10:wrap type="none"/>
              </v:rect>
            </w:pict>
          </mc:Fallback>
        </mc:AlternateContent>
      </w:r>
    </w:p>
    <w:p>
      <w:pPr>
        <w:pStyle w:val="Normal"/>
        <w:rPr/>
      </w:pPr>
      <w:bookmarkStart w:id="2" w:name="Date"/>
      <w:bookmarkEnd w:id="2"/>
      <w:r>
        <w:rPr/>
        <w:t>January 8, 2001</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u w:val="single"/>
        </w:rPr>
      </w:pPr>
      <w:r>
        <w:rPr>
          <w:b/>
          <w:u w:val="single"/>
        </w:rPr>
        <w:t>VIA E-MAIL</w:t>
      </w:r>
    </w:p>
    <w:p>
      <w:pPr>
        <w:pStyle w:val="Header"/>
        <w:rPr>
          <w:b/>
          <w:u w:val="single"/>
        </w:rPr>
      </w:pPr>
      <w:r>
        <w:rPr>
          <w:b/>
          <w:u w:val="single"/>
        </w:rPr>
      </w:r>
      <w:r>
        <mc:AlternateContent>
          <mc:Choice Requires="wps">
            <w:drawing>
              <wp:anchor behindDoc="0" distT="0" distB="0" distL="114935" distR="114935" simplePos="0" locked="0" layoutInCell="1" allowOverlap="1" relativeHeight="5">
                <wp:simplePos x="0" y="0"/>
                <wp:positionH relativeFrom="column">
                  <wp:posOffset>4243070</wp:posOffset>
                </wp:positionH>
                <wp:positionV relativeFrom="page">
                  <wp:posOffset>2606040</wp:posOffset>
                </wp:positionV>
                <wp:extent cx="2414270" cy="1112520"/>
                <wp:effectExtent l="0" t="0" r="0" b="0"/>
                <wp:wrapNone/>
                <wp:docPr id="3" name="Frame3"/>
                <a:graphic xmlns:a="http://schemas.openxmlformats.org/drawingml/2006/main">
                  <a:graphicData uri="http://schemas.microsoft.com/office/word/2010/wordprocessingShape">
                    <wps:wsp>
                      <wps:cNvSpPr txBox="1"/>
                      <wps:spPr>
                        <a:xfrm>
                          <a:off x="0" y="0"/>
                          <a:ext cx="2414270" cy="1112520"/>
                        </a:xfrm>
                        <a:prstGeom prst="rect"/>
                        <a:solidFill>
                          <a:srgbClr val="FFFFFF"/>
                        </a:solidFill>
                      </wps:spPr>
                      <wps:txbx>
                        <w:txbxContent>
                          <w:p>
                            <w:pPr>
                              <w:pStyle w:val="CommentText"/>
                              <w:spacing w:before="0" w:after="0"/>
                              <w:rPr>
                                <w:b/>
                              </w:rPr>
                            </w:pPr>
                            <w:bookmarkStart w:id="3" w:name="sender"/>
                            <w:bookmarkEnd w:id="3"/>
                            <w:r>
                              <w:rPr>
                                <w:b/>
                              </w:rPr>
                              <w:t>SCOTT A. TURNER</w:t>
                            </w:r>
                          </w:p>
                          <w:p>
                            <w:pPr>
                              <w:pStyle w:val="CommentText"/>
                              <w:spacing w:before="0" w:after="0"/>
                              <w:rPr/>
                            </w:pPr>
                            <w:bookmarkStart w:id="4" w:name="sender2"/>
                            <w:bookmarkEnd w:id="4"/>
                            <w:r>
                              <w:rPr/>
                              <w:t>Direct Dial: 604.631.3318</w:t>
                            </w:r>
                          </w:p>
                          <w:p>
                            <w:pPr>
                              <w:pStyle w:val="CommentText"/>
                              <w:spacing w:before="0" w:after="0"/>
                              <w:rPr/>
                            </w:pPr>
                            <w:r>
                              <w:rPr/>
                              <w:t>E-mail: sat@blakes.com</w:t>
                            </w:r>
                          </w:p>
                          <w:p>
                            <w:pPr>
                              <w:pStyle w:val="CommentText"/>
                              <w:spacing w:before="0" w:after="0"/>
                              <w:rPr/>
                            </w:pPr>
                            <w:r>
                              <w:rPr/>
                            </w:r>
                          </w:p>
                          <w:p>
                            <w:pPr>
                              <w:pStyle w:val="CommentText"/>
                              <w:spacing w:before="0" w:after="0"/>
                              <w:rPr/>
                            </w:pPr>
                            <w:r>
                              <w:rPr/>
                              <w:t>Reference: 84411/11</w:t>
                            </w:r>
                          </w:p>
                        </w:txbxContent>
                      </wps:txbx>
                      <wps:bodyPr anchor="t" lIns="635" tIns="635" rIns="635" bIns="635">
                        <a:noAutofit/>
                      </wps:bodyPr>
                    </wps:wsp>
                  </a:graphicData>
                </a:graphic>
              </wp:anchor>
            </w:drawing>
          </mc:Choice>
          <mc:Fallback>
            <w:pict>
              <v:rect fillcolor="#FFFFFF" style="position:absolute;rotation:-0;width:190.1pt;height:87.6pt;mso-wrap-distance-left:9.05pt;mso-wrap-distance-right:9.05pt;mso-wrap-distance-top:0pt;mso-wrap-distance-bottom:0pt;margin-top:205.2pt;mso-position-vertical-relative:page;margin-left:334.1pt;mso-position-horizontal-relative:text">
                <v:textbox inset="0.000694444444444445in,0.000694444444444445in,0.000694444444444445in,0.000694444444444445in">
                  <w:txbxContent>
                    <w:p>
                      <w:pPr>
                        <w:pStyle w:val="CommentText"/>
                        <w:spacing w:before="0" w:after="0"/>
                        <w:rPr>
                          <w:b/>
                        </w:rPr>
                      </w:pPr>
                      <w:bookmarkStart w:id="5" w:name="sender"/>
                      <w:bookmarkEnd w:id="5"/>
                      <w:r>
                        <w:rPr>
                          <w:b/>
                        </w:rPr>
                        <w:t>SCOTT A. TURNER</w:t>
                      </w:r>
                    </w:p>
                    <w:p>
                      <w:pPr>
                        <w:pStyle w:val="CommentText"/>
                        <w:spacing w:before="0" w:after="0"/>
                        <w:rPr/>
                      </w:pPr>
                      <w:bookmarkStart w:id="6" w:name="sender2"/>
                      <w:bookmarkEnd w:id="6"/>
                      <w:r>
                        <w:rPr/>
                        <w:t>Direct Dial: 604.631.3318</w:t>
                      </w:r>
                    </w:p>
                    <w:p>
                      <w:pPr>
                        <w:pStyle w:val="CommentText"/>
                        <w:spacing w:before="0" w:after="0"/>
                        <w:rPr/>
                      </w:pPr>
                      <w:r>
                        <w:rPr/>
                        <w:t>E-mail: sat@blakes.com</w:t>
                      </w:r>
                    </w:p>
                    <w:p>
                      <w:pPr>
                        <w:pStyle w:val="CommentText"/>
                        <w:spacing w:before="0" w:after="0"/>
                        <w:rPr/>
                      </w:pPr>
                      <w:r>
                        <w:rPr/>
                      </w:r>
                    </w:p>
                    <w:p>
                      <w:pPr>
                        <w:pStyle w:val="CommentText"/>
                        <w:spacing w:before="0" w:after="0"/>
                        <w:rPr/>
                      </w:pPr>
                      <w:r>
                        <w:rPr/>
                        <w:t>Reference: 84411/11</w:t>
                      </w:r>
                    </w:p>
                  </w:txbxContent>
                </v:textbox>
                <w10:wrap type="none"/>
              </v:rect>
            </w:pict>
          </mc:Fallback>
        </mc:AlternateContent>
      </w:r>
    </w:p>
    <w:p>
      <w:pPr>
        <w:pStyle w:val="Normal"/>
        <w:rPr/>
      </w:pPr>
      <w:r>
        <w:rPr/>
      </w:r>
      <w:bookmarkStart w:id="7" w:name="delivery"/>
      <w:bookmarkStart w:id="8" w:name="delivery"/>
      <w:bookmarkEnd w:id="8"/>
    </w:p>
    <w:p>
      <w:pPr>
        <w:pStyle w:val="Normal"/>
        <w:rPr/>
      </w:pPr>
      <w:bookmarkStart w:id="9" w:name="addressee"/>
      <w:bookmarkEnd w:id="9"/>
      <w:r>
        <w:rPr/>
        <w:t>Enron North America Corp.</w:t>
      </w:r>
    </w:p>
    <w:p>
      <w:pPr>
        <w:pStyle w:val="Normal"/>
        <w:rPr/>
      </w:pPr>
      <w:r>
        <w:rPr/>
        <w:t>1400 Smith Street</w:t>
      </w:r>
    </w:p>
    <w:p>
      <w:pPr>
        <w:pStyle w:val="Normal"/>
        <w:rPr/>
      </w:pPr>
      <w:r>
        <w:rPr/>
        <w:t>Houston, Texas</w:t>
      </w:r>
    </w:p>
    <w:p>
      <w:pPr>
        <w:pStyle w:val="Normal"/>
        <w:spacing w:before="0" w:after="240"/>
        <w:rPr/>
      </w:pPr>
      <w:r>
        <w:rPr/>
        <w:t>77002   USA</w:t>
      </w:r>
    </w:p>
    <w:p>
      <w:pPr>
        <w:pStyle w:val="Normal"/>
        <w:spacing w:before="0" w:after="240"/>
        <w:ind w:hanging="1440" w:start="1440" w:end="0"/>
        <w:rPr>
          <w:b/>
        </w:rPr>
      </w:pPr>
      <w:r>
        <w:rPr>
          <w:b/>
        </w:rPr>
        <w:t>Attention:</w:t>
        <w:tab/>
        <w:t>Richard Sanders</w:t>
      </w:r>
    </w:p>
    <w:p>
      <w:pPr>
        <w:pStyle w:val="Normal"/>
        <w:spacing w:before="0" w:after="240"/>
        <w:rPr/>
      </w:pPr>
      <w:bookmarkStart w:id="10" w:name="salutation"/>
      <w:bookmarkEnd w:id="10"/>
      <w:r>
        <w:rPr/>
        <w:t>Dear Richard:</w:t>
      </w:r>
    </w:p>
    <w:p>
      <w:pPr>
        <w:pStyle w:val="Normal"/>
        <w:spacing w:before="0" w:after="240"/>
        <w:ind w:hanging="720" w:start="2160" w:end="0"/>
        <w:rPr/>
      </w:pPr>
      <w:r>
        <w:rPr>
          <w:b/>
        </w:rPr>
        <w:t>Re:</w:t>
        <w:tab/>
        <w:t xml:space="preserve">Proceedings Against The CanFibre Group Limited (“CanFibre”) pursuant to Section 38 of the </w:t>
      </w:r>
      <w:r>
        <w:rPr>
          <w:b/>
          <w:i/>
        </w:rPr>
        <w:t>Bankruptcy &amp; Insolvency Act</w:t>
      </w:r>
      <w:r>
        <w:rPr>
          <w:b/>
        </w:rPr>
        <w:t xml:space="preserve"> (the “BIA”)</w:t>
      </w:r>
    </w:p>
    <w:p>
      <w:pPr>
        <w:pStyle w:val="BodyTextFirstIndent2"/>
        <w:rPr/>
      </w:pPr>
      <w:bookmarkStart w:id="11" w:name="beginning"/>
      <w:bookmarkEnd w:id="11"/>
      <w:r>
        <w:rPr/>
        <w:t>You will recall that on December 4, 2000, we filed an application with the British Columbia Securities Commission (the “BCSC”), seeking exemptions from various securities legislation requirements in connection with the transfer of certain shares in CanFibre to ECT Merchant Investments Corp. (“ECT”).  The shares are presently held by PricewaterhouseCoopers Inc., as Trustee of the estate of Kafus Industries Ltd. (“Kafus”).</w:t>
      </w:r>
    </w:p>
    <w:p>
      <w:pPr>
        <w:pStyle w:val="BodyTextFirstIndent2"/>
        <w:rPr/>
      </w:pPr>
      <w:r>
        <w:rPr/>
        <w:t xml:space="preserve">I am advised by Andrew King of our office that, in the week before Christmas, he had a number of conversations with representatives of the BCSC, in which they advised him, informally, that, in their view, the assignment of the CanFibre shares to ECT is not a take over bid as defined in the </w:t>
      </w:r>
      <w:r>
        <w:rPr>
          <w:i/>
        </w:rPr>
        <w:t xml:space="preserve">British Columbia Securities Act </w:t>
      </w:r>
      <w:r>
        <w:rPr/>
        <w:t xml:space="preserve"> and other relevant securities legislation.  Unfortunately, the BCSC is not prepared to give us a formal opinion or ruling to this effect (it is the policy of the BCSC generally not to provide opinions or rulings of this kind).  However, the BCSC has indicated to us, verbally, that we need not proceed with, and that they will not rule on, the exemption application, because they do not believe that an exemption is necessary .</w:t>
      </w:r>
    </w:p>
    <w:p>
      <w:pPr>
        <w:pStyle w:val="BodyTextFirstIndent2"/>
        <w:rPr/>
      </w:pPr>
      <w:r>
        <w:rPr/>
        <w:t>In light of the foregoing, in our opinion ECT may withdraw the exemption application at this time, and simply proceed to instruct the Trustee to execute an assignment of the  CanFibre shares to ECT, or its nominee.  No other documents are required to be filed by ECT in connection with the assignment, or proceedings taken or approvals, permits, consents, orders or authorizations of regulatory authorities, other than the following:</w:t>
      </w:r>
    </w:p>
    <w:p>
      <w:pPr>
        <w:pStyle w:val="Normal"/>
        <w:suppressAutoHyphens w:val="true"/>
        <w:spacing w:before="0" w:after="240"/>
        <w:ind w:hanging="720" w:start="2160" w:end="0"/>
        <w:jc w:val="both"/>
        <w:rPr>
          <w:lang w:val="en-GB"/>
        </w:rPr>
      </w:pPr>
      <w:r>
        <w:rPr>
          <w:lang w:val="en-GB"/>
        </w:rPr>
        <w:t>(a)</w:t>
        <w:tab/>
        <w:t>upon the assignment of the CanFibre shares, ECT must immediately issue and file with the Securities Commissions in the Provinces of British Columbia, Alberta and Ontario, a press release describing the assignment;</w:t>
      </w:r>
    </w:p>
    <w:p>
      <w:pPr>
        <w:pStyle w:val="Normal"/>
        <w:suppressAutoHyphens w:val="true"/>
        <w:spacing w:before="0" w:after="240"/>
        <w:ind w:hanging="720" w:start="2160" w:end="0"/>
        <w:jc w:val="both"/>
        <w:rPr/>
      </w:pPr>
      <w:r>
        <w:rPr>
          <w:lang w:val="en-GB"/>
        </w:rPr>
        <w:t>(b)</w:t>
        <w:tab/>
      </w:r>
      <w:r>
        <w:rPr/>
        <w:t>upon the assignment of the CanFibre shares, ECT must file a Personal Information Form with the Canadian Venture Exchange;</w:t>
      </w:r>
    </w:p>
    <w:p>
      <w:pPr>
        <w:pStyle w:val="Normal"/>
        <w:suppressAutoHyphens w:val="true"/>
        <w:spacing w:before="0" w:after="240"/>
        <w:ind w:hanging="720" w:start="2160" w:end="0"/>
        <w:jc w:val="both"/>
        <w:rPr/>
      </w:pPr>
      <w:r>
        <w:rPr/>
        <w:t>(c)</w:t>
        <w:tab/>
      </w:r>
      <w:r>
        <w:rPr>
          <w:lang w:val="en-GB"/>
        </w:rPr>
        <w:t xml:space="preserve">within two business days from the assignment of the CanFibre shares, ECT must file an “early warning report” outlining details of the assignment as required under Section 111 of the </w:t>
      </w:r>
      <w:r>
        <w:rPr>
          <w:i/>
          <w:lang w:val="en-GB"/>
        </w:rPr>
        <w:t>Securities Act</w:t>
      </w:r>
      <w:r>
        <w:rPr>
          <w:lang w:val="en-GB"/>
        </w:rPr>
        <w:t xml:space="preserve"> (British Columbia), Section 141 of the </w:t>
      </w:r>
      <w:r>
        <w:rPr>
          <w:i/>
          <w:lang w:val="en-GB"/>
        </w:rPr>
        <w:t>Securities Act</w:t>
      </w:r>
      <w:r>
        <w:rPr>
          <w:lang w:val="en-GB"/>
        </w:rPr>
        <w:t xml:space="preserve"> (Alberta) and Section 101 of the </w:t>
      </w:r>
      <w:r>
        <w:rPr>
          <w:i/>
          <w:lang w:val="en-GB"/>
        </w:rPr>
        <w:t>Securities Act</w:t>
      </w:r>
      <w:r>
        <w:rPr>
          <w:lang w:val="en-GB"/>
        </w:rPr>
        <w:t xml:space="preserve"> (Ontario); and</w:t>
      </w:r>
    </w:p>
    <w:p>
      <w:pPr>
        <w:pStyle w:val="Normal"/>
        <w:suppressAutoHyphens w:val="true"/>
        <w:spacing w:before="0" w:after="240"/>
        <w:ind w:hanging="720" w:start="2160" w:end="0"/>
        <w:jc w:val="both"/>
        <w:rPr/>
      </w:pPr>
      <w:r>
        <w:rPr/>
        <w:t>(d)</w:t>
        <w:tab/>
        <w:t xml:space="preserve">within ten days from the assignment of the CanFibre shares, ECT must file an Insider Report as required under Section 87 of the </w:t>
      </w:r>
      <w:r>
        <w:rPr>
          <w:i/>
        </w:rPr>
        <w:t>Securities Act</w:t>
      </w:r>
      <w:r>
        <w:rPr/>
        <w:t xml:space="preserve"> (British Columbia), Section 147 of the </w:t>
      </w:r>
      <w:r>
        <w:rPr>
          <w:i/>
        </w:rPr>
        <w:t>Securities Act</w:t>
      </w:r>
      <w:r>
        <w:rPr/>
        <w:t xml:space="preserve"> (Alberta) and Section 107 of the </w:t>
      </w:r>
      <w:r>
        <w:rPr>
          <w:i/>
        </w:rPr>
        <w:t>Securities Act</w:t>
      </w:r>
      <w:r>
        <w:rPr/>
        <w:t xml:space="preserve"> (Ontario).</w:t>
      </w:r>
    </w:p>
    <w:p>
      <w:pPr>
        <w:pStyle w:val="BodyTextFirstIndent2"/>
        <w:rPr/>
      </w:pPr>
      <w:r>
        <w:rPr/>
        <w:t>In light of the foregoing, and in light of the original court order in this proceeding requiring the Trustee to execute an assignment of the CanFibre shares, in our view we should now proceed to write to the Trustee requesting that it effect that assignment.  May we please have your instructions to this effect.</w:t>
      </w:r>
    </w:p>
    <w:p>
      <w:pPr>
        <w:pStyle w:val="Normal"/>
        <w:keepNext w:val="true"/>
        <w:keepLines/>
        <w:spacing w:before="0" w:after="240"/>
        <w:ind w:start="4320" w:end="0"/>
        <w:rPr/>
      </w:pPr>
      <w:r>
        <w:rPr/>
        <w:t>Very truly yours,</w:t>
        <w:br/>
        <w:br/>
        <w:br/>
        <w:br/>
        <w:t>Scott A. Turner</w:t>
      </w:r>
    </w:p>
    <w:p>
      <w:pPr>
        <w:pStyle w:val="Normal"/>
        <w:rPr>
          <w:sz w:val="16"/>
        </w:rPr>
      </w:pPr>
      <w:r>
        <w:rPr>
          <w:sz w:val="16"/>
        </w:rPr>
        <w:t>SAT/aa</w:t>
        <w:br/>
        <w:t>Encl.</w:t>
      </w:r>
    </w:p>
    <w:p>
      <w:pPr>
        <w:pStyle w:val="Normal"/>
        <w:rPr>
          <w:sz w:val="16"/>
        </w:rPr>
      </w:pPr>
      <w:r>
        <w:rPr>
          <w:sz w:val="16"/>
        </w:rPr>
      </w:r>
    </w:p>
    <w:tbl>
      <w:tblPr>
        <w:tblW w:w="9260" w:type="dxa"/>
        <w:jc w:val="start"/>
        <w:tblInd w:w="18" w:type="dxa"/>
        <w:tblLayout w:type="fixed"/>
        <w:tblCellMar>
          <w:top w:w="0" w:type="dxa"/>
          <w:start w:w="108" w:type="dxa"/>
          <w:bottom w:w="0" w:type="dxa"/>
          <w:end w:w="108" w:type="dxa"/>
        </w:tblCellMar>
      </w:tblPr>
      <w:tblGrid>
        <w:gridCol w:w="530"/>
        <w:gridCol w:w="8730"/>
      </w:tblGrid>
      <w:tr>
        <w:trPr>
          <w:trHeight w:val="282" w:hRule="atLeast"/>
        </w:trPr>
        <w:tc>
          <w:tcPr>
            <w:tcW w:w="530" w:type="dxa"/>
            <w:tcBorders/>
          </w:tcPr>
          <w:p>
            <w:pPr>
              <w:pStyle w:val="Normal"/>
              <w:rPr>
                <w:sz w:val="19"/>
              </w:rPr>
            </w:pPr>
            <w:r>
              <w:rPr>
                <w:sz w:val="19"/>
              </w:rPr>
              <w:t>c:</w:t>
            </w:r>
          </w:p>
        </w:tc>
        <w:tc>
          <w:tcPr>
            <w:tcW w:w="8730" w:type="dxa"/>
            <w:tcBorders/>
          </w:tcPr>
          <w:p>
            <w:pPr>
              <w:pStyle w:val="Normal"/>
              <w:rPr>
                <w:sz w:val="19"/>
              </w:rPr>
            </w:pPr>
            <w:bookmarkStart w:id="12" w:name="cc"/>
            <w:bookmarkEnd w:id="12"/>
            <w:r>
              <w:rPr>
                <w:sz w:val="19"/>
              </w:rPr>
              <w:t>R. Petersen</w:t>
            </w:r>
          </w:p>
          <w:p>
            <w:pPr>
              <w:pStyle w:val="Normal"/>
              <w:rPr>
                <w:sz w:val="19"/>
              </w:rPr>
            </w:pPr>
            <w:r>
              <w:rPr>
                <w:sz w:val="19"/>
              </w:rPr>
              <w:t>R. Anderson</w:t>
            </w:r>
          </w:p>
          <w:p>
            <w:pPr>
              <w:pStyle w:val="Normal"/>
              <w:rPr>
                <w:sz w:val="19"/>
              </w:rPr>
            </w:pPr>
            <w:r>
              <w:rPr>
                <w:sz w:val="19"/>
              </w:rPr>
              <w:t>A. King</w:t>
            </w:r>
          </w:p>
        </w:tc>
      </w:tr>
    </w:tbl>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173" w:top="475" w:footer="432"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BCGLogo">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"DOCID"</w:instrText>
    </w:r>
    <w:r>
      <w:rPr/>
      <w:fldChar w:fldCharType="separate"/>
    </w:r>
    <w:r>
      <w:rPr/>
      <w:t>50246676.1</w:t>
    </w:r>
    <w:r>
      <w:rPr/>
      <w:fldChar w:fldCharType="end"/>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"DOCID"</w:instrText>
    </w:r>
    <w:r>
      <w:rPr/>
      <w:fldChar w:fldCharType="separate"/>
    </w:r>
    <w:r>
      <w:rPr/>
      <w:t>50246676.1</w:t>
    </w:r>
    <w:r>
      <w:rPr/>
      <w:fldChar w:fldCharType="end"/>
    </w:r>
  </w:p>
  <w:p>
    <w:pPr>
      <w:pStyle w:val="Footer"/>
      <w:rPr/>
    </w:pPr>
    <w:r>
      <w:rPr/>
    </w:r>
  </w:p>
  <w:p>
    <w:pPr>
      <w:pStyle w:val="Normal"/>
      <w:tabs>
        <w:tab w:val="clear" w:pos="720"/>
        <w:tab w:val="left" w:pos="900" w:leader="none"/>
        <w:tab w:val="center" w:pos="5400" w:leader="none"/>
      </w:tabs>
      <w:jc w:val="center"/>
      <w:rPr>
        <w:sz w:val="16"/>
      </w:rPr>
    </w:pPr>
    <w:r>
      <w:rPr>
        <w:sz w:val="16"/>
      </w:rPr>
      <w:t>Blake, Cassels &amp; Graydon LLP is a limited liability partnership under the laws of Ontario</w:t>
    </w:r>
  </w:p>
  <w:p>
    <w:pPr>
      <w:pStyle w:val="Normal"/>
      <w:tabs>
        <w:tab w:val="clear" w:pos="720"/>
        <w:tab w:val="left" w:pos="900" w:leader="none"/>
        <w:tab w:val="center" w:pos="5400" w:leader="none"/>
      </w:tabs>
      <w:rPr>
        <w:sz w:val="16"/>
      </w:rPr>
    </w:pPr>
    <w:r>
      <w:rPr>
        <w:sz w:val="16"/>
      </w:rPr>
    </w:r>
  </w:p>
  <w:p>
    <w:pPr>
      <w:pStyle w:val="Normal"/>
      <w:tabs>
        <w:tab w:val="clear" w:pos="720"/>
        <w:tab w:val="left" w:pos="900" w:leader="none"/>
        <w:tab w:val="center" w:pos="5400" w:leader="none"/>
      </w:tabs>
      <w:jc w:val="center"/>
      <w:rPr/>
    </w:pPr>
    <w:r>
      <w:rPr>
        <w:sz w:val="16"/>
      </w:rPr>
      <w:t>Toronto</w:t>
    </w:r>
    <w:r>
      <w:rPr>
        <w:sz w:val="12"/>
      </w:rPr>
      <w:t xml:space="preserve">        </w:t>
    </w:r>
    <w:r>
      <w:rPr>
        <w:sz w:val="16"/>
      </w:rPr>
      <w:t xml:space="preserve">• </w:t>
    </w:r>
    <w:r>
      <w:rPr>
        <w:sz w:val="12"/>
      </w:rPr>
      <w:t xml:space="preserve">       </w:t>
    </w:r>
    <w:r>
      <w:rPr>
        <w:sz w:val="16"/>
      </w:rPr>
      <w:t>Ottawa</w:t>
    </w:r>
    <w:r>
      <w:rPr>
        <w:sz w:val="12"/>
      </w:rPr>
      <w:t xml:space="preserve">        </w:t>
    </w:r>
    <w:r>
      <w:rPr>
        <w:sz w:val="16"/>
      </w:rPr>
      <w:t>•</w:t>
    </w:r>
    <w:r>
      <w:rPr>
        <w:sz w:val="12"/>
      </w:rPr>
      <w:t xml:space="preserve">        </w:t>
    </w:r>
    <w:r>
      <w:rPr>
        <w:sz w:val="16"/>
      </w:rPr>
      <w:t>Montreal</w:t>
    </w:r>
    <w:r>
      <w:rPr>
        <w:sz w:val="12"/>
      </w:rPr>
      <w:t xml:space="preserve">* </w:t>
    </w:r>
    <w:r>
      <w:rPr>
        <w:sz w:val="16"/>
      </w:rPr>
      <w:t xml:space="preserve">     •</w:t>
    </w:r>
    <w:r>
      <w:rPr>
        <w:sz w:val="14"/>
      </w:rPr>
      <w:t xml:space="preserve"> </w:t>
    </w:r>
    <w:r>
      <w:rPr>
        <w:sz w:val="12"/>
      </w:rPr>
      <w:t xml:space="preserve">       </w:t>
    </w:r>
    <w:r>
      <w:rPr>
        <w:sz w:val="16"/>
      </w:rPr>
      <w:t>Quebec City</w:t>
    </w:r>
    <w:r>
      <w:rPr>
        <w:sz w:val="12"/>
      </w:rPr>
      <w:t xml:space="preserve">*        </w:t>
    </w:r>
    <w:r>
      <w:rPr>
        <w:sz w:val="16"/>
      </w:rPr>
      <w:t xml:space="preserve">• </w:t>
    </w:r>
    <w:r>
      <w:rPr>
        <w:sz w:val="12"/>
      </w:rPr>
      <w:t xml:space="preserve">       </w:t>
    </w:r>
    <w:r>
      <w:rPr>
        <w:sz w:val="16"/>
      </w:rPr>
      <w:t>Calgary      •</w:t>
    </w:r>
    <w:r>
      <w:rPr>
        <w:sz w:val="12"/>
      </w:rPr>
      <w:t xml:space="preserve">        </w:t>
    </w:r>
    <w:r>
      <w:rPr>
        <w:sz w:val="16"/>
      </w:rPr>
      <w:t>Vancouver</w:t>
    </w:r>
    <w:r>
      <w:rPr>
        <w:sz w:val="12"/>
      </w:rPr>
      <w:t xml:space="preserve">        </w:t>
    </w:r>
    <w:r>
      <w:rPr>
        <w:sz w:val="16"/>
      </w:rPr>
      <w:t xml:space="preserve">• </w:t>
    </w:r>
    <w:r>
      <w:rPr>
        <w:sz w:val="12"/>
      </w:rPr>
      <w:t xml:space="preserve">       </w:t>
    </w:r>
    <w:r>
      <w:rPr>
        <w:sz w:val="16"/>
      </w:rPr>
      <w:t>London, U.K.</w:t>
    </w:r>
    <w:r>
      <w:rPr>
        <w:sz w:val="12"/>
      </w:rPr>
      <w:t xml:space="preserve">        </w:t>
    </w:r>
    <w:r>
      <w:rPr>
        <w:sz w:val="16"/>
      </w:rPr>
      <w:t xml:space="preserve">• </w:t>
    </w:r>
    <w:r>
      <w:rPr>
        <w:sz w:val="12"/>
      </w:rPr>
      <w:t xml:space="preserve">       </w:t>
    </w:r>
    <w:r>
      <w:rPr>
        <w:sz w:val="16"/>
      </w:rPr>
      <w:t>Beijing</w:t>
    </w:r>
  </w:p>
  <w:p>
    <w:pPr>
      <w:pStyle w:val="Normal"/>
      <w:tabs>
        <w:tab w:val="clear" w:pos="720"/>
        <w:tab w:val="left" w:pos="900" w:leader="none"/>
        <w:tab w:val="center" w:pos="5400" w:leader="none"/>
      </w:tabs>
      <w:ind w:end="-36"/>
      <w:jc w:val="center"/>
      <w:rPr/>
    </w:pPr>
    <w:r>
      <w:rPr>
        <w:sz w:val="12"/>
      </w:rPr>
      <w:t>*</w:t>
    </w:r>
    <w:r>
      <w:rPr>
        <w:sz w:val="16"/>
      </w:rPr>
      <w:t xml:space="preserve">Associated firm: Lavery, de Billy    </w:t>
    </w:r>
    <w:r>
      <w:rPr>
        <w:sz w:val="12"/>
      </w:rPr>
      <w:t xml:space="preserve">  </w:t>
    </w:r>
    <w:r>
      <w:rPr>
        <w:sz w:val="16"/>
      </w:rPr>
      <w:t xml:space="preserve">  </w:t>
    </w:r>
    <w:r>
      <w:rPr>
        <w:color w:val="FFFFFF"/>
        <w:sz w:val="16"/>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rPr/>
    </w:pPr>
    <w:r>
      <w:rPr/>
    </w:r>
    <w:r>
      <mc:AlternateContent>
        <mc:Choice Requires="wps">
          <w:drawing>
            <wp:anchor behindDoc="0" distT="0" distB="0" distL="0" distR="0" simplePos="0" locked="0" layoutInCell="0" allowOverlap="1" relativeHeight="2">
              <wp:simplePos x="0" y="0"/>
              <wp:positionH relativeFrom="page">
                <wp:posOffset>6456045</wp:posOffset>
              </wp:positionH>
              <wp:positionV relativeFrom="page">
                <wp:posOffset>1097915</wp:posOffset>
              </wp:positionV>
              <wp:extent cx="494030" cy="175260"/>
              <wp:effectExtent l="0" t="0" r="0" b="0"/>
              <wp:wrapSquare wrapText="bothSides"/>
              <wp:docPr id="4" name="Frame4"/>
              <a:graphic xmlns:a="http://schemas.openxmlformats.org/drawingml/2006/main">
                <a:graphicData uri="http://schemas.microsoft.com/office/word/2010/wordprocessingShape">
                  <wps:wsp>
                    <wps:cNvSpPr txBox="1"/>
                    <wps:spPr>
                      <a:xfrm>
                        <a:off x="0" y="0"/>
                        <a:ext cx="494030" cy="175260"/>
                      </a:xfrm>
                      <a:prstGeom prst="rect"/>
                      <a:solidFill>
                        <a:srgbClr val="FFFFFF">
                          <a:alpha val="0"/>
                        </a:srgbClr>
                      </a:solidFill>
                    </wps:spPr>
                    <wps:txbx>
                      <w:txbxContent>
                        <w:p>
                          <w:pPr>
                            <w:pStyle w:val="Head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38.9pt;height:13.8pt;mso-wrap-distance-left:0pt;mso-wrap-distance-right:0pt;mso-wrap-distance-top:0pt;mso-wrap-distance-bottom:0pt;margin-top:86.45pt;mso-position-vertical-relative:page;margin-left:508.35pt;mso-position-horizontal-relative:page">
              <v:fill opacity="0f"/>
              <v:textbox inset="0in,0in,0in,0in">
                <w:txbxContent>
                  <w:p>
                    <w:pPr>
                      <w:pStyle w:val="Head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p>
    <w:pPr>
      <w:pStyle w:val="Header"/>
      <w:rPr/>
    </w:pPr>
    <w:r>
      <w:rPr/>
    </w:r>
  </w:p>
  <w:p>
    <w:pPr>
      <w:pStyle w:val="Header"/>
      <w:rPr/>
    </w:pPr>
    <w:r>
      <w:rPr/>
    </w:r>
  </w:p>
  <w:p>
    <w:pPr>
      <w:pStyle w:val="Header"/>
      <w:rPr>
        <w:lang w:val="en-CA"/>
      </w:rPr>
    </w:pPr>
    <w:r>
      <w:rPr>
        <w:lang w:val="en-CA"/>
      </w:rPr>
    </w:r>
    <w:r>
      <mc:AlternateContent>
        <mc:Choice Requires="wps">
          <w:drawing>
            <wp:anchor behindDoc="0" distT="0" distB="0" distL="114935" distR="114935" simplePos="0" locked="0" layoutInCell="0" allowOverlap="1" relativeHeight="3">
              <wp:simplePos x="0" y="0"/>
              <wp:positionH relativeFrom="column">
                <wp:posOffset>0</wp:posOffset>
              </wp:positionH>
              <wp:positionV relativeFrom="page">
                <wp:posOffset>791845</wp:posOffset>
              </wp:positionV>
              <wp:extent cx="3749040" cy="488315"/>
              <wp:effectExtent l="0" t="0" r="0" b="0"/>
              <wp:wrapTopAndBottom/>
              <wp:docPr id="5" name="Frame5"/>
              <a:graphic xmlns:a="http://schemas.openxmlformats.org/drawingml/2006/main">
                <a:graphicData uri="http://schemas.microsoft.com/office/word/2010/wordprocessingShape">
                  <wps:wsp>
                    <wps:cNvSpPr txBox="1"/>
                    <wps:spPr>
                      <a:xfrm>
                        <a:off x="0" y="0"/>
                        <a:ext cx="3749040" cy="488315"/>
                      </a:xfrm>
                      <a:prstGeom prst="rect"/>
                      <a:solidFill>
                        <a:srgbClr val="FFFFFF"/>
                      </a:solidFill>
                    </wps:spPr>
                    <wps:txbx>
                      <w:txbxContent>
                        <w:p>
                          <w:pPr>
                            <w:pStyle w:val="Normal"/>
                            <w:rPr>
                              <w:rFonts w:ascii="BCGLogo" w:hAnsi="BCGLogo" w:cs="BCGLogo"/>
                              <w:color w:val="000000"/>
                              <w:sz w:val="70"/>
                            </w:rPr>
                          </w:pPr>
                          <w:r>
                            <w:rPr>
                              <w:rFonts w:cs="BCGLogo" w:ascii="BCGLogo" w:hAnsi="BCGLogo"/>
                              <w:color w:val="000000"/>
                              <w:sz w:val="70"/>
                            </w:rPr>
                            <w:t>blake</w:t>
                          </w:r>
                        </w:p>
                      </w:txbxContent>
                    </wps:txbx>
                    <wps:bodyPr anchor="t" lIns="635" tIns="635" rIns="635" bIns="635">
                      <a:noAutofit/>
                    </wps:bodyPr>
                  </wps:wsp>
                </a:graphicData>
              </a:graphic>
            </wp:anchor>
          </w:drawing>
        </mc:Choice>
        <mc:Fallback>
          <w:pict>
            <v:rect fillcolor="#FFFFFF" style="position:absolute;rotation:-0;width:295.2pt;height:38.45pt;mso-wrap-distance-left:9.05pt;mso-wrap-distance-right:9.05pt;mso-wrap-distance-top:0pt;mso-wrap-distance-bottom:0pt;margin-top:62.35pt;mso-position-vertical-relative:page;margin-left:0pt;mso-position-horizontal-relative:text">
              <v:textbox inset="0.000694444444444445in,0.000694444444444445in,0.000694444444444445in,0.000694444444444445in">
                <w:txbxContent>
                  <w:p>
                    <w:pPr>
                      <w:pStyle w:val="Normal"/>
                      <w:rPr>
                        <w:rFonts w:ascii="BCGLogo" w:hAnsi="BCGLogo" w:cs="BCGLogo"/>
                        <w:color w:val="000000"/>
                        <w:sz w:val="70"/>
                      </w:rPr>
                    </w:pPr>
                    <w:r>
                      <w:rPr>
                        <w:rFonts w:cs="BCGLogo" w:ascii="BCGLogo" w:hAnsi="BCGLogo"/>
                        <w:color w:val="000000"/>
                        <w:sz w:val="70"/>
                      </w:rPr>
                      <w:t>blake</w:t>
                    </w:r>
                  </w:p>
                </w:txbxContent>
              </v:textbox>
              <w10:wrap type="topAndBottom"/>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440"/>
        </w:tabs>
        <w:ind w:start="1440" w:hanging="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lowerRoman"/>
      <w:lvlText w:val="(%3)"/>
      <w:lvlJc w:val="end"/>
      <w:pPr>
        <w:tabs>
          <w:tab w:val="num" w:pos="2304"/>
        </w:tabs>
        <w:ind w:start="2304" w:hanging="432"/>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upperLetter"/>
      <w:lvlText w:val="%4."/>
      <w:lvlJc w:val="start"/>
      <w:pPr>
        <w:tabs>
          <w:tab w:val="num" w:pos="3024"/>
        </w:tabs>
        <w:ind w:start="3024" w:hanging="72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upperRoman"/>
      <w:lvlText w:val="%5."/>
      <w:lvlJc w:val="end"/>
      <w:pPr>
        <w:tabs>
          <w:tab w:val="num" w:pos="3888"/>
        </w:tabs>
        <w:ind w:start="3888" w:hanging="432"/>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end"/>
      <w:pPr>
        <w:tabs>
          <w:tab w:val="num" w:pos="4752"/>
        </w:tabs>
        <w:ind w:start="4752" w:hanging="432"/>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472"/>
        </w:tabs>
        <w:ind w:start="5472"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192"/>
        </w:tabs>
        <w:ind w:start="6192"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end"/>
      <w:pPr>
        <w:tabs>
          <w:tab w:val="num" w:pos="7056"/>
        </w:tabs>
        <w:ind w:start="7056" w:hanging="432"/>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CA" w:eastAsia="zh-CN" w:bidi="hi-IN"/>
    </w:rPr>
  </w:style>
  <w:style w:type="paragraph" w:styleId="Heading1">
    <w:name w:val="heading 1"/>
    <w:basedOn w:val="Normal"/>
    <w:next w:val="BodyText"/>
    <w:qFormat/>
    <w:pPr>
      <w:keepNext w:val="true"/>
      <w:numPr>
        <w:ilvl w:val="0"/>
        <w:numId w:val="1"/>
      </w:numPr>
      <w:outlineLvl w:val="0"/>
    </w:pPr>
    <w:rPr>
      <w:b/>
    </w:rPr>
  </w:style>
  <w:style w:type="paragraph" w:styleId="Heading2">
    <w:name w:val="heading 2"/>
    <w:basedOn w:val="Normal"/>
    <w:next w:val="BodyText"/>
    <w:qFormat/>
    <w:pPr>
      <w:keepNext w:val="true"/>
      <w:numPr>
        <w:ilvl w:val="1"/>
        <w:numId w:val="1"/>
      </w:numPr>
      <w:outlineLvl w:val="1"/>
    </w:pPr>
    <w:rPr>
      <w:b/>
    </w:rPr>
  </w:style>
  <w:style w:type="paragraph" w:styleId="Heading3">
    <w:name w:val="heading 3"/>
    <w:basedOn w:val="Normal"/>
    <w:next w:val="BodyText"/>
    <w:qFormat/>
    <w:pPr>
      <w:numPr>
        <w:ilvl w:val="2"/>
        <w:numId w:val="1"/>
      </w:numPr>
      <w:outlineLvl w:val="2"/>
    </w:pPr>
    <w:rPr>
      <w:b/>
    </w:rPr>
  </w:style>
  <w:style w:type="paragraph" w:styleId="Heading4">
    <w:name w:val="heading 4"/>
    <w:basedOn w:val="Normal"/>
    <w:next w:val="BodyText"/>
    <w:qFormat/>
    <w:pPr>
      <w:numPr>
        <w:ilvl w:val="3"/>
        <w:numId w:val="1"/>
      </w:numPr>
      <w:outlineLvl w:val="3"/>
    </w:pPr>
    <w:rPr>
      <w:b/>
    </w:rPr>
  </w:style>
  <w:style w:type="paragraph" w:styleId="Heading5">
    <w:name w:val="heading 5"/>
    <w:basedOn w:val="Normal"/>
    <w:next w:val="BodyText"/>
    <w:qFormat/>
    <w:pPr>
      <w:numPr>
        <w:ilvl w:val="4"/>
        <w:numId w:val="1"/>
      </w:numPr>
      <w:outlineLvl w:val="4"/>
    </w:pPr>
    <w:rPr>
      <w:b/>
    </w:rPr>
  </w:style>
  <w:style w:type="paragraph" w:styleId="Heading6">
    <w:name w:val="heading 6"/>
    <w:basedOn w:val="Normal"/>
    <w:next w:val="BodyText"/>
    <w:qFormat/>
    <w:pPr>
      <w:numPr>
        <w:ilvl w:val="5"/>
        <w:numId w:val="1"/>
      </w:numPr>
      <w:outlineLvl w:val="5"/>
    </w:pPr>
    <w:rPr>
      <w:b/>
    </w:rPr>
  </w:style>
  <w:style w:type="paragraph" w:styleId="Heading7">
    <w:name w:val="heading 7"/>
    <w:basedOn w:val="Normal"/>
    <w:next w:val="BodyText"/>
    <w:qFormat/>
    <w:pPr>
      <w:numPr>
        <w:ilvl w:val="6"/>
        <w:numId w:val="1"/>
      </w:numPr>
      <w:outlineLvl w:val="6"/>
    </w:pPr>
    <w:rPr>
      <w:b/>
    </w:rPr>
  </w:style>
  <w:style w:type="paragraph" w:styleId="Heading8">
    <w:name w:val="heading 8"/>
    <w:basedOn w:val="Normal"/>
    <w:next w:val="BodyText"/>
    <w:qFormat/>
    <w:pPr>
      <w:numPr>
        <w:ilvl w:val="7"/>
        <w:numId w:val="1"/>
      </w:numPr>
      <w:outlineLvl w:val="7"/>
    </w:pPr>
    <w:rPr>
      <w:b/>
    </w:rPr>
  </w:style>
  <w:style w:type="paragraph" w:styleId="Heading9">
    <w:name w:val="heading 9"/>
    <w:basedOn w:val="Normal"/>
    <w:next w:val="BodyText"/>
    <w:qFormat/>
    <w:pPr>
      <w:numPr>
        <w:ilvl w:val="8"/>
        <w:numId w:val="1"/>
      </w:numPr>
      <w:outlineLvl w:val="8"/>
    </w:pPr>
    <w:rPr>
      <w:b/>
    </w:rPr>
  </w:style>
  <w:style w:type="character" w:styleId="WW8Num1z0">
    <w:name w:val="WW8Num1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z0">
    <w:name w:val="WW8Num2z0"/>
    <w:qFormat/>
    <w:rPr>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lang w:val="en-CA"/>
    </w:rPr>
  </w:style>
  <w:style w:type="paragraph" w:styleId="List">
    <w:name w:val="List"/>
    <w:basedOn w:val="BodyText"/>
    <w:pPr/>
    <w:rPr>
      <w:rFonts w:cs="NotoSans NF"/>
    </w:rPr>
  </w:style>
  <w:style w:type="paragraph" w:styleId="Caption">
    <w:name w:val="caption"/>
    <w:basedOn w:val="BodyText"/>
    <w:next w:val="BodyText"/>
    <w:qFormat/>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lang w:val="en-CA"/>
    </w:rPr>
  </w:style>
  <w:style w:type="paragraph" w:styleId="Footer">
    <w:name w:val="footer"/>
    <w:basedOn w:val="Normal"/>
    <w:pPr/>
    <w:rPr>
      <w:sz w:val="16"/>
    </w:rPr>
  </w:style>
  <w:style w:type="paragraph" w:styleId="BlockText">
    <w:name w:val="Block Text"/>
    <w:basedOn w:val="BodyText"/>
    <w:qFormat/>
    <w:pPr>
      <w:ind w:hanging="0" w:start="1440" w:end="1440"/>
    </w:pPr>
    <w:rPr/>
  </w:style>
  <w:style w:type="paragraph" w:styleId="BodyText2">
    <w:name w:val="Body Text 2"/>
    <w:basedOn w:val="BodyText"/>
    <w:qFormat/>
    <w:pPr>
      <w:spacing w:lineRule="auto" w:line="480" w:before="0" w:after="480"/>
    </w:pPr>
    <w:rPr/>
  </w:style>
  <w:style w:type="paragraph" w:styleId="BodyText3">
    <w:name w:val="Body Text 3"/>
    <w:basedOn w:val="BodyText"/>
    <w:qFormat/>
    <w:pPr>
      <w:spacing w:before="0" w:after="160"/>
    </w:pPr>
    <w:rPr>
      <w:sz w:val="16"/>
    </w:rPr>
  </w:style>
  <w:style w:type="paragraph" w:styleId="BodyTextIndent">
    <w:name w:val="Body Text Indent"/>
    <w:basedOn w:val="BodyText"/>
    <w:pPr>
      <w:ind w:hanging="0" w:start="720" w:end="0"/>
    </w:pPr>
    <w:rPr/>
  </w:style>
  <w:style w:type="paragraph" w:styleId="BodyTextFirstIndent2">
    <w:name w:val="Body Text First Indent 2"/>
    <w:basedOn w:val="BodyText"/>
    <w:qFormat/>
    <w:pPr>
      <w:ind w:firstLine="1440" w:start="0" w:end="0"/>
    </w:pPr>
    <w:rPr/>
  </w:style>
  <w:style w:type="paragraph" w:styleId="BodyTextFirstIndent">
    <w:name w:val="Body Text First Indent"/>
    <w:basedOn w:val="BodyText"/>
    <w:qFormat/>
    <w:pPr>
      <w:ind w:firstLine="720" w:start="0" w:end="0"/>
    </w:pPr>
    <w:rPr/>
  </w:style>
  <w:style w:type="paragraph" w:styleId="BodyTextIndent2">
    <w:name w:val="Body Text Indent 2"/>
    <w:basedOn w:val="BodyText"/>
    <w:qFormat/>
    <w:pPr>
      <w:ind w:hanging="0" w:start="1440" w:end="0"/>
    </w:pPr>
    <w:rPr/>
  </w:style>
  <w:style w:type="paragraph" w:styleId="BodyTextIndent3">
    <w:name w:val="Body Text Indent 3"/>
    <w:basedOn w:val="BodyText"/>
    <w:qFormat/>
    <w:pPr>
      <w:spacing w:lineRule="auto" w:line="480" w:before="0" w:after="480"/>
      <w:ind w:hanging="0" w:start="720" w:end="0"/>
    </w:pPr>
    <w:rPr/>
  </w:style>
  <w:style w:type="paragraph" w:styleId="Date">
    <w:name w:val="Date"/>
    <w:basedOn w:val="BodyText"/>
    <w:next w:val="BodyText"/>
    <w:qFormat/>
    <w:pPr/>
    <w:rPr/>
  </w:style>
  <w:style w:type="paragraph" w:styleId="Closing">
    <w:name w:val="Closing"/>
    <w:basedOn w:val="Normal"/>
    <w:qFormat/>
    <w:pPr>
      <w:ind w:hanging="0" w:start="4320" w:end="0"/>
    </w:pPr>
    <w:rPr>
      <w:lang w:val="en-CA"/>
    </w:rPr>
  </w:style>
  <w:style w:type="paragraph" w:styleId="CommentText">
    <w:name w:val="Comment Text"/>
    <w:basedOn w:val="BodyText"/>
    <w:qFormat/>
    <w:pPr/>
    <w:rPr>
      <w:sz w:val="20"/>
    </w:rPr>
  </w:style>
  <w:style w:type="paragraph" w:styleId="DocumentMap">
    <w:name w:val="Document Map"/>
    <w:basedOn w:val="Normal"/>
    <w:qFormat/>
    <w:pPr>
      <w:shd w:fill="000080" w:val="clear"/>
    </w:pPr>
    <w:rPr>
      <w:rFonts w:ascii="Tahoma" w:hAnsi="Tahoma" w:cs="Tahoma"/>
    </w:rPr>
  </w:style>
  <w:style w:type="paragraph" w:styleId="StandardL1">
    <w:name w:val="Standard_L1"/>
    <w:basedOn w:val="Normal"/>
    <w:next w:val="Normal"/>
    <w:qFormat/>
    <w:pPr>
      <w:numPr>
        <w:ilvl w:val="0"/>
        <w:numId w:val="2"/>
      </w:numPr>
      <w:spacing w:before="0" w:after="240"/>
      <w:jc w:val="both"/>
      <w:outlineLvl w:val="0"/>
    </w:pPr>
    <w:rPr>
      <w:sz w:val="22"/>
      <w:lang w:val="en-US"/>
    </w:rPr>
  </w:style>
  <w:style w:type="paragraph" w:styleId="Signature">
    <w:name w:val="Signature"/>
    <w:basedOn w:val="Normal"/>
    <w:pPr>
      <w:ind w:hanging="0" w:start="4320" w:end="0"/>
    </w:pPr>
    <w:rPr/>
  </w:style>
  <w:style w:type="paragraph" w:styleId="StandardL2">
    <w:name w:val="Standard_L2"/>
    <w:basedOn w:val="StandardL1"/>
    <w:next w:val="Normal"/>
    <w:qFormat/>
    <w:pPr>
      <w:numPr>
        <w:ilvl w:val="0"/>
        <w:numId w:val="2"/>
      </w:numPr>
      <w:tabs>
        <w:tab w:val="clear" w:pos="720"/>
        <w:tab w:val="left" w:pos="360" w:leader="none"/>
      </w:tabs>
      <w:outlineLvl w:val="1"/>
    </w:pPr>
    <w:rPr/>
  </w:style>
  <w:style w:type="paragraph" w:styleId="StandardL3">
    <w:name w:val="Standard_L3"/>
    <w:basedOn w:val="StandardL2"/>
    <w:next w:val="Normal"/>
    <w:qFormat/>
    <w:pPr>
      <w:numPr>
        <w:ilvl w:val="0"/>
        <w:numId w:val="2"/>
      </w:numPr>
      <w:outlineLvl w:val="2"/>
    </w:pPr>
    <w:rPr/>
  </w:style>
  <w:style w:type="paragraph" w:styleId="StandardL4">
    <w:name w:val="Standard_L4"/>
    <w:basedOn w:val="StandardL3"/>
    <w:next w:val="Normal"/>
    <w:qFormat/>
    <w:pPr>
      <w:numPr>
        <w:ilvl w:val="0"/>
        <w:numId w:val="2"/>
      </w:numPr>
      <w:outlineLvl w:val="3"/>
    </w:pPr>
    <w:rPr/>
  </w:style>
  <w:style w:type="paragraph" w:styleId="StandardL5">
    <w:name w:val="Standard_L5"/>
    <w:basedOn w:val="StandardL4"/>
    <w:next w:val="Normal"/>
    <w:qFormat/>
    <w:pPr>
      <w:numPr>
        <w:ilvl w:val="0"/>
        <w:numId w:val="2"/>
      </w:numPr>
      <w:outlineLvl w:val="4"/>
    </w:pPr>
    <w:rPr/>
  </w:style>
  <w:style w:type="paragraph" w:styleId="StandardL6">
    <w:name w:val="Standard_L6"/>
    <w:basedOn w:val="StandardL5"/>
    <w:next w:val="Normal"/>
    <w:qFormat/>
    <w:pPr>
      <w:numPr>
        <w:ilvl w:val="0"/>
        <w:numId w:val="2"/>
      </w:numPr>
      <w:outlineLvl w:val="5"/>
    </w:pPr>
    <w:rPr/>
  </w:style>
  <w:style w:type="paragraph" w:styleId="StandardL7">
    <w:name w:val="Standard_L7"/>
    <w:basedOn w:val="StandardL6"/>
    <w:next w:val="Normal"/>
    <w:qFormat/>
    <w:pPr>
      <w:numPr>
        <w:ilvl w:val="0"/>
        <w:numId w:val="2"/>
      </w:numPr>
      <w:outlineLvl w:val="6"/>
    </w:pPr>
    <w:rPr/>
  </w:style>
  <w:style w:type="paragraph" w:styleId="StandardL8">
    <w:name w:val="Standard_L8"/>
    <w:basedOn w:val="StandardL7"/>
    <w:next w:val="Normal"/>
    <w:qFormat/>
    <w:pPr>
      <w:numPr>
        <w:ilvl w:val="0"/>
        <w:numId w:val="2"/>
      </w:numPr>
      <w:outlineLvl w:val="7"/>
    </w:pPr>
    <w:rPr/>
  </w:style>
  <w:style w:type="paragraph" w:styleId="StandardL9">
    <w:name w:val="Standard_L9"/>
    <w:basedOn w:val="StandardL8"/>
    <w:next w:val="Normal"/>
    <w:qFormat/>
    <w:pPr>
      <w:numPr>
        <w:ilvl w:val="0"/>
        <w:numId w:val="2"/>
      </w:numPr>
      <w:outlineLvl w:val="8"/>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2001-01-05T16:21:00Z</dcterms:created>
  <dc:creator>ape</dc:creator>
  <dc:description/>
  <dc:language>en-CA</dc:language>
  <cp:lastModifiedBy>ape</cp:lastModifiedBy>
  <cp:lastPrinted>2001-01-08T09:48:00Z</cp:lastPrinted>
  <dcterms:modified xsi:type="dcterms:W3CDTF">2001-01-08T15:20:00Z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50246676.1</vt:lpwstr>
  </property>
</Properties>
</file>