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July 12,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Mr. Dave Fuller</w:t>
      </w:r>
    </w:p>
    <w:p>
      <w:pPr>
        <w:pStyle w:val="Normal"/>
        <w:rPr>
          <w:sz w:val="20"/>
        </w:rPr>
      </w:pPr>
      <w:r>
        <w:rPr>
          <w:sz w:val="20"/>
        </w:rPr>
        <w:t>Enron Transportation &amp; Storage</w:t>
      </w:r>
    </w:p>
    <w:p>
      <w:pPr>
        <w:pStyle w:val="Normal"/>
        <w:rPr>
          <w:sz w:val="20"/>
        </w:rPr>
      </w:pPr>
      <w:r>
        <w:rPr>
          <w:sz w:val="20"/>
        </w:rPr>
        <w:t>P. O. Box 1188</w:t>
      </w:r>
    </w:p>
    <w:p>
      <w:pPr>
        <w:pStyle w:val="Normal"/>
        <w:rPr>
          <w:sz w:val="20"/>
        </w:rPr>
      </w:pPr>
      <w:r>
        <w:rPr>
          <w:sz w:val="20"/>
        </w:rPr>
        <w:t>Houston, TX  77251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Dear Dave: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Attached for your review and consideration is the CDWR's July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GISB Cover Page and Special Provisions Addendum.  After further negotiations and legal review, the Department has made several modifications to its original GISB document.  The following is a summary of those modifications: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Cover Page: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Section 1.2 - Transaction Procedure</w:t>
        <w:tab/>
        <w:t>Oral; standard GISB language acceptable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Section 2.4 – Confirm Deadline</w:t>
        <w:tab/>
        <w:tab/>
        <w:t>Two business days after receipt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"/>
        <w:ind w:hanging="3600" w:start="3600" w:end="0"/>
        <w:rPr>
          <w:sz w:val="20"/>
        </w:rPr>
      </w:pPr>
      <w:r>
        <w:rPr>
          <w:sz w:val="20"/>
        </w:rPr>
        <w:t>Section 2.5 – Confirming Party</w:t>
        <w:tab/>
        <w:t>Both seller and buyer, to provide confirmation.  All transactions require written confirmation, including daily transactions.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>Section 6 – Taxes</w:t>
        <w:tab/>
        <w:tab/>
        <w:tab/>
        <w:t>Buyer pays at and after delivery point.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p>
      <w:pPr>
        <w:pStyle w:val="Normal"/>
        <w:ind w:hanging="2160" w:start="2160" w:end="0"/>
        <w:rPr>
          <w:b/>
          <w:sz w:val="20"/>
        </w:rPr>
      </w:pPr>
      <w:r>
        <w:rPr>
          <w:b/>
          <w:sz w:val="20"/>
        </w:rPr>
        <w:t>Special Provisions:</w:t>
      </w:r>
    </w:p>
    <w:p>
      <w:pPr>
        <w:pStyle w:val="Normal"/>
        <w:ind w:hanging="2160"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Requirement that oral agreement not be binding until exchange on non-conflicting written Transaction Confirmations </w:t>
      </w:r>
      <w:r>
        <w:rPr>
          <w:b/>
          <w:sz w:val="20"/>
        </w:rPr>
        <w:t>has been deleted.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Section 1.3 Requirement to change GISB language has been deleted.  Transaction Confirmations have GISB priority in disputes.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Section 10.3 language has been expanded for seller's credit protection.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Section 10.5 has been enhanced to note that bond and indenture documents will reflect O&amp;M expense priority of payment.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Please make note of these modifications.  Once you have had an opportunity to review these new documents, please call me at 925-243-0350.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Sincerely,</w:t>
      </w:r>
    </w:p>
    <w:p>
      <w:pPr>
        <w:pStyle w:val="Normal"/>
        <w:rPr/>
      </w:pPr>
      <w:r>
        <w:rPr/>
        <w:drawing>
          <wp:inline distT="0" distB="0" distL="0" distR="0">
            <wp:extent cx="1875790" cy="523875"/>
            <wp:effectExtent l="0" t="0" r="0" b="0"/>
            <wp:docPr id="1" name="mark's%20hand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's%20hand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53" r="-10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Mark Baldwin</w:t>
      </w:r>
    </w:p>
    <w:p>
      <w:pPr>
        <w:pStyle w:val="Normal"/>
        <w:rPr>
          <w:sz w:val="20"/>
        </w:rPr>
      </w:pPr>
      <w:r>
        <w:rPr>
          <w:sz w:val="20"/>
        </w:rPr>
        <w:t>Interstate Gas Services, Inc.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MAB/gjs</w:t>
      </w:r>
    </w:p>
    <w:p>
      <w:pPr>
        <w:pStyle w:val="Normal"/>
        <w:rPr>
          <w:sz w:val="20"/>
        </w:rPr>
      </w:pPr>
      <w:r>
        <w:rPr>
          <w:sz w:val="20"/>
        </w:rPr>
        <w:t>Attachment</w:t>
      </w:r>
    </w:p>
    <w:sectPr>
      <w:type w:val="nextPage"/>
      <w:pgSz w:w="12240" w:h="15840"/>
      <w:pgMar w:left="1440" w:right="1440" w:gutter="0" w:header="0" w:top="1440" w:footer="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2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" w:hAnsi="Arial" w:cs="Arial"/>
      <w:sz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jc w:val="start"/>
    </w:pPr>
    <w:rPr>
      <w:sz w:val="24"/>
      <w:lang w:eastAsia="en-US"/>
    </w:rPr>
  </w:style>
  <w:style w:type="paragraph" w:styleId="BodyTextIndent">
    <w:name w:val="Body Text Indent"/>
    <w:basedOn w:val="Normal"/>
    <w:pPr>
      <w:ind w:hanging="2160" w:start="216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2001-07-12T14:06:00Z</dcterms:created>
  <dc:creator>Valued Gateway 2000 Customer</dc:creator>
  <dc:description/>
  <dc:language>en-CA</dc:language>
  <cp:lastModifiedBy>Valued Gateway 2000 Customer</cp:lastModifiedBy>
  <cp:lastPrinted>2001-07-03T14:45:00Z</cp:lastPrinted>
  <dcterms:modified xsi:type="dcterms:W3CDTF">2001-07-12T14:06:00Z</dcterms:modified>
  <cp:revision>2</cp:revision>
  <dc:subject/>
  <dc:title>July 3, 2001</dc:title>
</cp:coreProperties>
</file>