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2"/>
        </w:rPr>
      </w:pPr>
      <w:r>
        <w:rPr>
          <w:sz w:val="22"/>
        </w:rPr>
        <w:t>May 11, 2001</w:t>
      </w:r>
    </w:p>
    <w:p>
      <w:pPr>
        <w:pStyle w:val="Normal"/>
        <w:jc w:val="both"/>
        <w:rPr>
          <w:sz w:val="22"/>
        </w:rPr>
      </w:pPr>
      <w:r>
        <w:rPr>
          <w:sz w:val="22"/>
        </w:rPr>
      </w:r>
    </w:p>
    <w:p>
      <w:pPr>
        <w:pStyle w:val="Normal"/>
        <w:rPr>
          <w:sz w:val="22"/>
        </w:rPr>
      </w:pPr>
      <w:r>
        <w:rPr>
          <w:sz w:val="22"/>
        </w:rPr>
        <w:t>Frontera Generation Limited Partnership</w:t>
      </w:r>
    </w:p>
    <w:p>
      <w:pPr>
        <w:pStyle w:val="Normal"/>
        <w:rPr>
          <w:sz w:val="22"/>
        </w:rPr>
      </w:pPr>
      <w:r>
        <w:rPr>
          <w:sz w:val="22"/>
        </w:rPr>
        <w:t>Attention:  Energy Management</w:t>
      </w:r>
    </w:p>
    <w:p>
      <w:pPr>
        <w:pStyle w:val="Normal"/>
        <w:rPr>
          <w:sz w:val="22"/>
        </w:rPr>
      </w:pPr>
      <w:r>
        <w:rPr>
          <w:sz w:val="22"/>
        </w:rPr>
        <w:t>TECO Power Services Corporation</w:t>
      </w:r>
    </w:p>
    <w:p>
      <w:pPr>
        <w:pStyle w:val="Normal"/>
        <w:rPr>
          <w:sz w:val="22"/>
        </w:rPr>
      </w:pPr>
      <w:r>
        <w:rPr>
          <w:sz w:val="22"/>
        </w:rPr>
        <w:t>702 North Franklin Street</w:t>
      </w:r>
    </w:p>
    <w:p>
      <w:pPr>
        <w:pStyle w:val="Normal"/>
        <w:rPr>
          <w:sz w:val="22"/>
        </w:rPr>
      </w:pPr>
      <w:r>
        <w:rPr>
          <w:sz w:val="22"/>
        </w:rPr>
        <w:t>Tampa, Florida 33602</w:t>
      </w:r>
    </w:p>
    <w:p>
      <w:pPr>
        <w:pStyle w:val="Normal"/>
        <w:jc w:val="both"/>
        <w:rPr>
          <w:sz w:val="22"/>
        </w:rPr>
      </w:pPr>
      <w:r>
        <w:rPr>
          <w:sz w:val="22"/>
        </w:rPr>
      </w:r>
    </w:p>
    <w:p>
      <w:pPr>
        <w:pStyle w:val="Normal"/>
        <w:jc w:val="both"/>
        <w:rPr>
          <w:bCs/>
          <w:sz w:val="22"/>
        </w:rPr>
      </w:pPr>
      <w:r>
        <w:rPr>
          <w:bCs/>
          <w:sz w:val="22"/>
        </w:rPr>
        <w:t>VIA TELECOPIER (813-228-1360) and Regular Mail</w:t>
      </w:r>
    </w:p>
    <w:p>
      <w:pPr>
        <w:pStyle w:val="Normal"/>
        <w:jc w:val="both"/>
        <w:rPr>
          <w:bCs/>
          <w:sz w:val="22"/>
        </w:rPr>
      </w:pPr>
      <w:r>
        <w:rPr>
          <w:bCs/>
          <w:sz w:val="22"/>
        </w:rPr>
      </w:r>
    </w:p>
    <w:p>
      <w:pPr>
        <w:pStyle w:val="BodyTextIndent2"/>
        <w:spacing w:before="120" w:after="0"/>
        <w:ind w:hanging="630" w:start="1440" w:end="0"/>
        <w:rPr>
          <w:sz w:val="22"/>
        </w:rPr>
      </w:pPr>
      <w:r>
        <w:rPr>
          <w:sz w:val="22"/>
        </w:rPr>
        <w:t>RE:</w:t>
        <w:tab/>
        <w:t>Frontera May 4, 2001 written Notice of Claim of an Event of Force Majeure (“May 4 Notice”) transmitted to Enron Power Marketing, Inc. (“EPMI”) relating to the Energy Management Services Agreement dated as of April 10, 2001 (“EMSA”) and the Master Power Purchase and Sale Agreement dated as of April 01, 2001 (“MPPSA”)</w:t>
      </w:r>
    </w:p>
    <w:p>
      <w:pPr>
        <w:pStyle w:val="Normal"/>
        <w:spacing w:before="120" w:after="0"/>
        <w:jc w:val="both"/>
        <w:rPr>
          <w:sz w:val="22"/>
        </w:rPr>
      </w:pPr>
      <w:r>
        <w:rPr>
          <w:sz w:val="22"/>
        </w:rPr>
        <w:t>Gentlemen:</w:t>
      </w:r>
    </w:p>
    <w:p>
      <w:pPr>
        <w:pStyle w:val="Normal"/>
        <w:spacing w:before="120" w:after="0"/>
        <w:jc w:val="both"/>
        <w:rPr>
          <w:sz w:val="22"/>
        </w:rPr>
      </w:pPr>
      <w:r>
        <w:rPr>
          <w:sz w:val="22"/>
        </w:rPr>
      </w:r>
    </w:p>
    <w:p>
      <w:pPr>
        <w:pStyle w:val="Normal"/>
        <w:jc w:val="both"/>
        <w:rPr>
          <w:sz w:val="22"/>
        </w:rPr>
      </w:pPr>
      <w:r>
        <w:rPr>
          <w:sz w:val="22"/>
        </w:rPr>
        <w:tab/>
        <w:t>This responds to the above referenced notice of an event of Force Majeure claimed by Frontera.  Please be aware that each of the two agreements referenced above states a definition of Force Majeure, and the information provided in your May 4 Notice referenced above is not adequate to confirm to EPMI that an event of Force Majeure has occurred under either operative definition.  For your reference, such definitions are stated on the attachment hereto.  Frontera’s characterization of this outage thus remains in question.  EPMI is particularly concerned to know the particulars of the precipitating event which brought about such outage, and to be able to assess whether such event occurred without the fault or negligence of Frontera.  Moreover, EPMI has concerns that the date of expected resumption of operations, May 31, 2001, has been arbitrarily determined by Frontera.</w:t>
      </w:r>
    </w:p>
    <w:p>
      <w:pPr>
        <w:pStyle w:val="Normal"/>
        <w:tabs>
          <w:tab w:val="clear" w:pos="540"/>
          <w:tab w:val="left" w:pos="720" w:leader="none"/>
        </w:tabs>
        <w:jc w:val="both"/>
        <w:rPr>
          <w:sz w:val="22"/>
        </w:rPr>
      </w:pPr>
      <w:r>
        <w:rPr>
          <w:sz w:val="22"/>
        </w:rPr>
      </w:r>
    </w:p>
    <w:p>
      <w:pPr>
        <w:pStyle w:val="BodyTextIndent"/>
        <w:spacing w:before="120" w:after="0"/>
        <w:rPr>
          <w:sz w:val="22"/>
        </w:rPr>
      </w:pPr>
      <w:r>
        <w:rPr>
          <w:sz w:val="22"/>
        </w:rPr>
        <w:t xml:space="preserve">Accordingly EPMI requests that Frontera give full particulars of such claimed event of Force Majeure, in sufficient detail that EPMI can confirm that the definitional requirements referenced above have been met. Additionally, consistent with the provisions of the EMSA pertinent if the outage is determined to be an Event of Force Majeure, EPMI will require that Frontera (i) take all reasonable measures to mitigate the effects of such outage (ii) use commercially reasonable efforts to resume performance of its obligations under the EMSA (iii) remedy its inability to perform under the EMSA at the earliest practicable time, and (iv) keep EPMI informed of any changes in the expected duration of its inability to perform.  If Frontera will continue to assert that a Force Majeure event occurred, and in view of the fourteen day deadline on notice of Force Majeure stated in the EMSA, please provide EPMI by 5:00 p.m. Houston time Monday, May 14, 2001, the full details requested above.  </w:t>
      </w:r>
    </w:p>
    <w:p>
      <w:pPr>
        <w:pStyle w:val="BodyTextIndent"/>
        <w:spacing w:before="120" w:after="0"/>
        <w:ind w:start="3600" w:end="0"/>
        <w:rPr>
          <w:sz w:val="22"/>
        </w:rPr>
      </w:pPr>
      <w:r>
        <w:rPr>
          <w:sz w:val="22"/>
        </w:rPr>
        <w:t>Very truly,</w:t>
      </w:r>
    </w:p>
    <w:p>
      <w:pPr>
        <w:pStyle w:val="BodyTextIndent"/>
        <w:spacing w:before="120" w:after="0"/>
        <w:ind w:hanging="0" w:start="4320" w:end="0"/>
        <w:rPr>
          <w:sz w:val="22"/>
        </w:rPr>
      </w:pPr>
      <w:r>
        <w:rPr>
          <w:sz w:val="22"/>
        </w:rPr>
        <w:t>ENRON POWER MARKETING, INC.</w:t>
      </w:r>
    </w:p>
    <w:p>
      <w:pPr>
        <w:pStyle w:val="BodyTextIndent"/>
        <w:tabs>
          <w:tab w:val="left" w:pos="8460" w:leader="none"/>
        </w:tabs>
        <w:spacing w:before="480" w:after="0"/>
        <w:ind w:hanging="0" w:start="4320" w:end="0"/>
        <w:rPr/>
      </w:pPr>
      <w:r>
        <w:rPr>
          <w:sz w:val="22"/>
        </w:rPr>
        <w:t xml:space="preserve">By  </w:t>
      </w:r>
      <w:r>
        <w:rPr>
          <w:sz w:val="22"/>
          <w:u w:val="single"/>
        </w:rPr>
        <w:tab/>
      </w:r>
    </w:p>
    <w:p>
      <w:pPr>
        <w:pStyle w:val="BodyTextIndent"/>
        <w:tabs>
          <w:tab w:val="left" w:pos="8460" w:leader="none"/>
        </w:tabs>
        <w:ind w:hanging="0" w:start="4320" w:end="0"/>
        <w:rPr>
          <w:sz w:val="22"/>
        </w:rPr>
      </w:pPr>
      <w:r>
        <w:rPr>
          <w:sz w:val="22"/>
        </w:rPr>
        <w:t>Name</w:t>
      </w:r>
      <w:r>
        <w:rPr>
          <w:sz w:val="22"/>
          <w:u w:val="single"/>
        </w:rPr>
        <w:t xml:space="preserve">  </w:t>
        <w:tab/>
      </w:r>
    </w:p>
    <w:p>
      <w:pPr>
        <w:pStyle w:val="BodyTextIndent"/>
        <w:tabs>
          <w:tab w:val="left" w:pos="8460" w:leader="none"/>
        </w:tabs>
        <w:ind w:hanging="0" w:start="4320" w:end="0"/>
        <w:rPr>
          <w:sz w:val="22"/>
        </w:rPr>
      </w:pPr>
      <w:r>
        <w:rPr>
          <w:sz w:val="22"/>
        </w:rPr>
        <w:t>Title</w:t>
      </w:r>
      <w:r>
        <w:rPr>
          <w:sz w:val="22"/>
          <w:u w:val="single"/>
        </w:rPr>
        <w:t xml:space="preserve">  </w:t>
        <w:tab/>
      </w:r>
      <w:r>
        <w:br w:type="page"/>
      </w:r>
    </w:p>
    <w:p>
      <w:pPr>
        <w:pStyle w:val="Normal"/>
        <w:rPr>
          <w:sz w:val="22"/>
        </w:rPr>
      </w:pPr>
      <w:r>
        <w:rPr>
          <w:sz w:val="22"/>
        </w:rPr>
        <w:t>ATTACHMENT:  OPERATIVE DEFINITIONS OF FORCE MAJEURE.</w:t>
      </w:r>
    </w:p>
    <w:p>
      <w:pPr>
        <w:pStyle w:val="Normal"/>
        <w:rPr>
          <w:sz w:val="22"/>
        </w:rPr>
      </w:pPr>
      <w:r>
        <w:rPr>
          <w:sz w:val="22"/>
        </w:rPr>
      </w:r>
    </w:p>
    <w:p>
      <w:pPr>
        <w:pStyle w:val="Normal"/>
        <w:rPr>
          <w:sz w:val="22"/>
        </w:rPr>
      </w:pPr>
      <w:r>
        <w:rPr>
          <w:sz w:val="22"/>
        </w:rPr>
      </w:r>
    </w:p>
    <w:p>
      <w:pPr>
        <w:pStyle w:val="Normal"/>
        <w:rPr/>
      </w:pPr>
      <w:r>
        <w:rPr>
          <w:sz w:val="22"/>
          <w:u w:val="single"/>
        </w:rPr>
        <w:t>Energy Management Services Agreement dated as of April 10, 2001 (“EMSA”)</w:t>
      </w:r>
      <w:r>
        <w:rPr>
          <w:sz w:val="22"/>
        </w:rPr>
        <w:t>:</w:t>
      </w:r>
    </w:p>
    <w:p>
      <w:pPr>
        <w:pStyle w:val="Normal"/>
        <w:jc w:val="both"/>
        <w:rPr>
          <w:sz w:val="22"/>
        </w:rPr>
      </w:pPr>
      <w:r>
        <w:rPr>
          <w:sz w:val="22"/>
        </w:rPr>
      </w:r>
    </w:p>
    <w:p>
      <w:pPr>
        <w:pStyle w:val="Normal"/>
        <w:jc w:val="both"/>
        <w:rPr>
          <w:sz w:val="22"/>
        </w:rPr>
      </w:pPr>
      <w:r>
        <w:rPr>
          <w:sz w:val="22"/>
        </w:rPr>
        <w:t xml:space="preserve">DEFINITIONS Section 1:  </w:t>
      </w:r>
    </w:p>
    <w:p>
      <w:pPr>
        <w:pStyle w:val="Normal"/>
        <w:jc w:val="both"/>
        <w:rPr>
          <w:sz w:val="22"/>
        </w:rPr>
      </w:pPr>
      <w:r>
        <w:rPr>
          <w:sz w:val="22"/>
        </w:rPr>
        <w:t>“</w:t>
      </w:r>
      <w:r>
        <w:rPr>
          <w:sz w:val="22"/>
        </w:rPr>
        <w:t xml:space="preserve">"Force Majeure” shall have the meaning set forth in the Protocols. …” </w:t>
      </w:r>
    </w:p>
    <w:p>
      <w:pPr>
        <w:pStyle w:val="Normal"/>
        <w:jc w:val="both"/>
        <w:rPr>
          <w:sz w:val="22"/>
        </w:rPr>
      </w:pPr>
      <w:r>
        <w:rPr>
          <w:sz w:val="22"/>
        </w:rPr>
      </w:r>
    </w:p>
    <w:p>
      <w:pPr>
        <w:pStyle w:val="Normal"/>
        <w:jc w:val="both"/>
        <w:rPr>
          <w:sz w:val="22"/>
        </w:rPr>
      </w:pPr>
      <w:r>
        <w:rPr>
          <w:sz w:val="22"/>
        </w:rPr>
        <w:t>Force Majeure Event” is currently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insurection, riot, fire, storm, or flood, explosion, breakage or accident to machinery or equipment, or a curtailment, order, regulation or restriction imposed by governmental, military, or lawfully established civilian authorities.”</w:t>
      </w:r>
    </w:p>
    <w:p>
      <w:pPr>
        <w:pStyle w:val="Normal"/>
        <w:jc w:val="both"/>
        <w:rPr>
          <w:sz w:val="22"/>
        </w:rPr>
      </w:pPr>
      <w:r>
        <w:rPr>
          <w:sz w:val="22"/>
        </w:rPr>
      </w:r>
    </w:p>
    <w:p>
      <w:pPr>
        <w:pStyle w:val="Normal"/>
        <w:jc w:val="both"/>
        <w:rPr>
          <w:sz w:val="22"/>
          <w:u w:val="single"/>
        </w:rPr>
      </w:pPr>
      <w:r>
        <w:rPr>
          <w:sz w:val="22"/>
          <w:u w:val="single"/>
        </w:rPr>
        <w:t>Master Power Purchase and Sale Agreement dated as of April 01, 2001 (“MPPSA”)</w:t>
      </w:r>
    </w:p>
    <w:p>
      <w:pPr>
        <w:pStyle w:val="Normal"/>
        <w:jc w:val="both"/>
        <w:rPr>
          <w:sz w:val="22"/>
          <w:u w:val="single"/>
        </w:rPr>
      </w:pPr>
      <w:r>
        <w:rPr>
          <w:sz w:val="22"/>
          <w:u w:val="single"/>
        </w:rPr>
      </w:r>
    </w:p>
    <w:p>
      <w:pPr>
        <w:pStyle w:val="BodyText"/>
        <w:jc w:val="both"/>
        <w:rPr/>
      </w:pPr>
      <w:r>
        <w:rPr/>
        <w:t>Section 1.23:  “Force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utlineLvl w:val="1"/>
    </w:pPr>
    <w:rPr>
      <w:u w:val="single"/>
    </w:rPr>
  </w:style>
  <w:style w:type="paragraph" w:styleId="Heading3">
    <w:name w:val="heading 3"/>
    <w:basedOn w:val="Normal"/>
    <w:next w:val="NormalIndent"/>
    <w:qFormat/>
    <w:pPr>
      <w:numPr>
        <w:ilvl w:val="2"/>
        <w:numId w:val="1"/>
      </w:numPr>
      <w:outlineLvl w:val="2"/>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tabs>
        <w:tab w:val="clear" w:pos="540"/>
      </w:tabs>
      <w:ind w:hanging="0" w:start="2160" w:end="0"/>
      <w:jc w:val="both"/>
    </w:pPr>
    <w:rPr/>
  </w:style>
  <w:style w:type="paragraph" w:styleId="BodyTextIndent">
    <w:name w:val="Body Text Indent"/>
    <w:basedOn w:val="Normal"/>
    <w:pPr>
      <w:tabs>
        <w:tab w:val="clear" w:pos="540"/>
      </w:tabs>
      <w:ind w:firstLine="720" w:start="0" w:end="0"/>
      <w:jc w:val="both"/>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2001-05-10T17:14:00Z</dcterms:created>
  <dc:creator>ECT</dc:creator>
  <dc:description/>
  <dc:language>en-CA</dc:language>
  <cp:lastModifiedBy>dportz</cp:lastModifiedBy>
  <cp:lastPrinted>2001-05-11T10:09:00Z</cp:lastPrinted>
  <dcterms:modified xsi:type="dcterms:W3CDTF">2001-05-11T13:02:00Z</dcterms:modified>
  <cp:revision>33</cp:revision>
  <dc:subject/>
  <dc:title>January 20, 1997</dc:title>
</cp:coreProperties>
</file>