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jc w:val="center"/>
        <w:rPr>
          <w:sz w:val="22"/>
          <w:szCs w:val="22"/>
        </w:rPr>
      </w:pPr>
      <w:r>
        <w:rPr>
          <w:sz w:val="22"/>
          <w:szCs w:val="22"/>
        </w:rPr>
        <w:t>May 16, 1997</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tabs>
          <w:tab w:val="clear" w:pos="720"/>
          <w:tab w:val="right" w:pos="8640" w:leader="none"/>
        </w:tabs>
        <w:rPr>
          <w:sz w:val="22"/>
          <w:szCs w:val="22"/>
        </w:rPr>
      </w:pPr>
      <w:r>
        <w:rPr>
          <w:b/>
          <w:bCs/>
          <w:sz w:val="22"/>
          <w:szCs w:val="22"/>
        </w:rPr>
        <w:t>Via Telecopy &amp; First Class Mail</w:t>
        <w:tab/>
        <w:t>Confidential</w:t>
      </w:r>
    </w:p>
    <w:p>
      <w:pPr>
        <w:pStyle w:val="Normal"/>
        <w:tabs>
          <w:tab w:val="clear" w:pos="720"/>
          <w:tab w:val="right" w:pos="-2340" w:leader="none"/>
        </w:tabs>
        <w:jc w:val="both"/>
        <w:rPr>
          <w:b/>
          <w:bCs/>
          <w:sz w:val="22"/>
          <w:szCs w:val="22"/>
        </w:rPr>
      </w:pPr>
      <w:r>
        <w:rPr>
          <w:b/>
          <w:bCs/>
          <w:sz w:val="22"/>
          <w:szCs w:val="22"/>
        </w:rPr>
        <w:t>713/651-3392</w:t>
      </w:r>
    </w:p>
    <w:p>
      <w:pPr>
        <w:pStyle w:val="Normal"/>
        <w:tabs>
          <w:tab w:val="clear" w:pos="720"/>
          <w:tab w:val="right" w:pos="-2340" w:leader="none"/>
        </w:tabs>
        <w:jc w:val="both"/>
        <w:rPr>
          <w:b/>
          <w:bCs/>
          <w:sz w:val="22"/>
          <w:szCs w:val="22"/>
        </w:rPr>
      </w:pPr>
      <w:r>
        <w:rPr>
          <w:b/>
          <w:bCs/>
          <w:sz w:val="22"/>
          <w:szCs w:val="22"/>
        </w:rPr>
      </w:r>
    </w:p>
    <w:p>
      <w:pPr>
        <w:pStyle w:val="Normal"/>
        <w:rPr>
          <w:sz w:val="22"/>
          <w:szCs w:val="22"/>
        </w:rPr>
      </w:pPr>
      <w:r>
        <w:rPr>
          <w:sz w:val="22"/>
          <w:szCs w:val="22"/>
        </w:rPr>
        <w:t>Joseph P. Cunningham</w:t>
      </w:r>
    </w:p>
    <w:p>
      <w:pPr>
        <w:pStyle w:val="Normal"/>
        <w:rPr>
          <w:sz w:val="22"/>
          <w:szCs w:val="22"/>
        </w:rPr>
      </w:pPr>
      <w:r>
        <w:rPr>
          <w:sz w:val="22"/>
          <w:szCs w:val="22"/>
        </w:rPr>
        <w:t>Managing Director</w:t>
      </w:r>
    </w:p>
    <w:p>
      <w:pPr>
        <w:pStyle w:val="Normal"/>
        <w:rPr>
          <w:sz w:val="22"/>
          <w:szCs w:val="22"/>
        </w:rPr>
      </w:pPr>
      <w:r>
        <w:rPr>
          <w:sz w:val="22"/>
          <w:szCs w:val="22"/>
        </w:rPr>
        <w:t>Rauscher Pierce Refsnes, Inc.</w:t>
      </w:r>
    </w:p>
    <w:p>
      <w:pPr>
        <w:pStyle w:val="Normal"/>
        <w:rPr>
          <w:sz w:val="22"/>
          <w:szCs w:val="22"/>
        </w:rPr>
      </w:pPr>
      <w:r>
        <w:rPr>
          <w:sz w:val="22"/>
          <w:szCs w:val="22"/>
        </w:rPr>
        <w:t>1001 Fannin, Suite 400</w:t>
      </w:r>
    </w:p>
    <w:p>
      <w:pPr>
        <w:pStyle w:val="Normal"/>
        <w:rPr>
          <w:sz w:val="22"/>
          <w:szCs w:val="22"/>
        </w:rPr>
      </w:pPr>
      <w:r>
        <w:rPr>
          <w:sz w:val="22"/>
          <w:szCs w:val="22"/>
        </w:rPr>
        <w:t>Houston, TX  77002</w:t>
      </w:r>
    </w:p>
    <w:p>
      <w:pPr>
        <w:pStyle w:val="Normal"/>
        <w:rPr>
          <w:sz w:val="22"/>
          <w:szCs w:val="22"/>
        </w:rPr>
      </w:pPr>
      <w:r>
        <w:rPr>
          <w:sz w:val="22"/>
          <w:szCs w:val="22"/>
        </w:rPr>
      </w:r>
    </w:p>
    <w:p>
      <w:pPr>
        <w:pStyle w:val="Normal"/>
        <w:rPr>
          <w:sz w:val="22"/>
          <w:szCs w:val="22"/>
        </w:rPr>
      </w:pPr>
      <w:r>
        <w:rPr>
          <w:sz w:val="22"/>
          <w:szCs w:val="22"/>
        </w:rPr>
      </w:r>
    </w:p>
    <w:p>
      <w:pPr>
        <w:pStyle w:val="Normal"/>
        <w:jc w:val="center"/>
        <w:rPr>
          <w:b/>
          <w:bCs/>
          <w:sz w:val="22"/>
          <w:szCs w:val="22"/>
        </w:rPr>
      </w:pPr>
      <w:r>
        <w:rPr>
          <w:b/>
          <w:bCs/>
          <w:sz w:val="22"/>
          <w:szCs w:val="22"/>
        </w:rPr>
        <w:t>Interenergy Corporation; Expression of Interest</w:t>
      </w:r>
    </w:p>
    <w:p>
      <w:pPr>
        <w:pStyle w:val="Normal"/>
        <w:jc w:val="center"/>
        <w:rPr>
          <w:b/>
          <w:bCs/>
          <w:sz w:val="22"/>
          <w:szCs w:val="22"/>
        </w:rPr>
      </w:pPr>
      <w:r>
        <w:rPr>
          <w:b/>
          <w:bCs/>
          <w:sz w:val="22"/>
          <w:szCs w:val="22"/>
        </w:rPr>
      </w:r>
    </w:p>
    <w:p>
      <w:pPr>
        <w:pStyle w:val="Normal"/>
        <w:rPr>
          <w:sz w:val="22"/>
          <w:szCs w:val="22"/>
        </w:rPr>
      </w:pPr>
      <w:r>
        <w:rPr>
          <w:sz w:val="22"/>
          <w:szCs w:val="22"/>
        </w:rPr>
        <w:t>Gentlemen</w:t>
      </w:r>
    </w:p>
    <w:p>
      <w:pPr>
        <w:pStyle w:val="Normal"/>
        <w:jc w:val="both"/>
        <w:rPr>
          <w:sz w:val="22"/>
          <w:szCs w:val="22"/>
        </w:rPr>
      </w:pPr>
      <w:r>
        <w:rPr>
          <w:sz w:val="22"/>
          <w:szCs w:val="22"/>
        </w:rPr>
      </w:r>
    </w:p>
    <w:p>
      <w:pPr>
        <w:pStyle w:val="Normal"/>
        <w:jc w:val="both"/>
        <w:rPr>
          <w:sz w:val="22"/>
          <w:szCs w:val="22"/>
        </w:rPr>
      </w:pPr>
      <w:r>
        <w:rPr>
          <w:sz w:val="22"/>
          <w:szCs w:val="22"/>
        </w:rPr>
        <w:tab/>
        <w:t>Enron Capital &amp; Trade Resources Corp. ("ECT") is pleased to submit this preliminary non-binding expression of interest pertaining to the acquisition of Interenergy Corporation ("Interenergy").  ECT is a wholly-owned subsidiary of Enron Corp. ("Enron") and conducts virtually all of Enron’s non-regulated world-wide operations.  ECT’s core businesses include all types of transactions involving natural gas, electricity, crude oil and natural gas liquids.  These activities include acquiring and developing energy related assets, as well as providing finance and risk management products to our customers.  ECT is the leading independent marketer of natural gas and wholesale electricity in the United States.</w:t>
      </w:r>
    </w:p>
    <w:p>
      <w:pPr>
        <w:pStyle w:val="Normal"/>
        <w:jc w:val="both"/>
        <w:rPr>
          <w:sz w:val="22"/>
          <w:szCs w:val="22"/>
        </w:rPr>
      </w:pPr>
      <w:r>
        <w:rPr>
          <w:sz w:val="22"/>
          <w:szCs w:val="22"/>
        </w:rPr>
      </w:r>
    </w:p>
    <w:p>
      <w:pPr>
        <w:pStyle w:val="Normal"/>
        <w:jc w:val="both"/>
        <w:rPr>
          <w:sz w:val="22"/>
          <w:szCs w:val="22"/>
        </w:rPr>
      </w:pPr>
      <w:r>
        <w:rPr>
          <w:sz w:val="22"/>
          <w:szCs w:val="22"/>
        </w:rPr>
        <w:tab/>
        <w:t>Based solely on the information supplied in the Rauscher Pierce Refsnes, Inc. and Dillon, Read &amp; Co. Inc. Confidential Information Memorandum, dated April 1997, our preliminary analysis for the acquisition of Interenergy indicates a total enterprise value in the range of approximately $40 million in cash, free and clear of any obligations.  Because of the structure contemplated by ECT for the acquisition of Interenergy and ECT's intent to co-venture the acquisition with a party acceptable to Interenergy, our expression of interest contemplates an asset acquisition rather than a stock purchase.  Although we have yet to conduct any tax due diligence, our evaluation assumes that ECT would receive favorable tax treatment upon consummation of the transaction.</w:t>
      </w:r>
    </w:p>
    <w:p>
      <w:pPr>
        <w:pStyle w:val="Normal"/>
        <w:jc w:val="both"/>
        <w:rPr>
          <w:sz w:val="22"/>
          <w:szCs w:val="22"/>
        </w:rPr>
      </w:pPr>
      <w:r>
        <w:rPr>
          <w:sz w:val="22"/>
          <w:szCs w:val="22"/>
        </w:rPr>
      </w:r>
    </w:p>
    <w:p>
      <w:pPr>
        <w:pStyle w:val="Normal"/>
        <w:jc w:val="both"/>
        <w:rPr>
          <w:sz w:val="22"/>
          <w:szCs w:val="22"/>
        </w:rPr>
      </w:pPr>
      <w:r>
        <w:rPr>
          <w:sz w:val="22"/>
          <w:szCs w:val="22"/>
        </w:rPr>
        <w:tab/>
        <w:t>We would expect to finance the transaction from within ECT, in participation with a co</w:t>
        <w:noBreakHyphen/>
        <w:t>venturer approved by Interenergy or through funding vehicles already available for ECT’s use and, therefore, we do not contemplate the need for specific third party financing.  In any event, no definitive proposal would contain a financing contingency.  In addition, ECT is prepared to allocate the necessary resources to this transaction to ensure a timely evaluation and negotiation process and we would be amenable to a quick closing, in any event to occur during 1997.</w:t>
      </w:r>
    </w:p>
    <w:p>
      <w:pPr>
        <w:pStyle w:val="Normal"/>
        <w:jc w:val="both"/>
        <w:rPr>
          <w:sz w:val="22"/>
          <w:szCs w:val="22"/>
        </w:rPr>
      </w:pPr>
      <w:r>
        <w:rPr>
          <w:sz w:val="22"/>
          <w:szCs w:val="22"/>
        </w:rPr>
      </w:r>
    </w:p>
    <w:p>
      <w:pPr>
        <w:pStyle w:val="Normal"/>
        <w:jc w:val="both"/>
        <w:rPr>
          <w:sz w:val="22"/>
          <w:szCs w:val="22"/>
        </w:rPr>
      </w:pPr>
      <w:r>
        <w:rPr>
          <w:sz w:val="22"/>
          <w:szCs w:val="22"/>
        </w:rPr>
        <w:tab/>
        <w:t>We should be able to provide you with a more detailed proposed transaction schedule and a due diligence request list after we have visited the data room, undertaken a site visit of major locations and completed preliminary due diligence.  We would assume that all books and records necessary for a thorough review of Interenergy would be available in the data room, including those relating to corporate organization, property, plant and equipment, contracts, financial and accounting information, tax, regulatory, litigation, environmental, and employee and employee benefit matters.  We do not foresee any burdensome regulatory approvals, other than Hart-Scott-Rodino filings.</w:t>
      </w:r>
    </w:p>
    <w:p>
      <w:pPr>
        <w:pStyle w:val="Normal"/>
        <w:jc w:val="both"/>
        <w:rPr>
          <w:sz w:val="22"/>
          <w:szCs w:val="22"/>
        </w:rPr>
      </w:pPr>
      <w:r>
        <w:rPr>
          <w:sz w:val="22"/>
          <w:szCs w:val="22"/>
        </w:rPr>
      </w:r>
    </w:p>
    <w:p>
      <w:pPr>
        <w:pStyle w:val="Normal"/>
        <w:jc w:val="both"/>
        <w:rPr>
          <w:sz w:val="22"/>
          <w:szCs w:val="22"/>
        </w:rPr>
      </w:pPr>
      <w:r>
        <w:rPr>
          <w:sz w:val="22"/>
          <w:szCs w:val="22"/>
        </w:rPr>
        <w:tab/>
        <w:t>Our expression of interest is provided in response to your request and with the understanding that it is for discussion purposes only and is not an offer nor a commitment of ECT or any of its affiliates to consummate or otherwise participate in the proposed transaction.  The consummation of any transaction would be subject to, among other matters, the satisfactory completion of due diligence by ECT, the approval by the board of directors of ECT, and if applicable, Enron, and the negotiation, execution and delivery of definitive agreements.  This letter is delivered to you with the understanding that it will be treated confidentially.</w:t>
      </w:r>
    </w:p>
    <w:p>
      <w:pPr>
        <w:pStyle w:val="Normal"/>
        <w:jc w:val="both"/>
        <w:rPr>
          <w:sz w:val="22"/>
          <w:szCs w:val="22"/>
        </w:rPr>
      </w:pPr>
      <w:r>
        <w:rPr>
          <w:sz w:val="22"/>
          <w:szCs w:val="22"/>
        </w:rPr>
      </w:r>
    </w:p>
    <w:p>
      <w:pPr>
        <w:pStyle w:val="Normal"/>
        <w:jc w:val="both"/>
        <w:rPr>
          <w:sz w:val="22"/>
          <w:szCs w:val="22"/>
        </w:rPr>
      </w:pPr>
      <w:r>
        <w:rPr>
          <w:sz w:val="22"/>
          <w:szCs w:val="22"/>
        </w:rPr>
        <w:tab/>
        <w:t>Please contact the undersigned individuals with any questions or to further discuss the transaction:</w:t>
      </w:r>
    </w:p>
    <w:p>
      <w:pPr>
        <w:pStyle w:val="Normal"/>
        <w:jc w:val="both"/>
        <w:rPr>
          <w:sz w:val="22"/>
          <w:szCs w:val="22"/>
        </w:rPr>
      </w:pPr>
      <w:r>
        <w:rPr>
          <w:sz w:val="22"/>
          <w:szCs w:val="22"/>
        </w:rPr>
      </w:r>
    </w:p>
    <w:p>
      <w:pPr>
        <w:pStyle w:val="Normal"/>
        <w:tabs>
          <w:tab w:val="clear" w:pos="720"/>
          <w:tab w:val="left" w:pos="1440" w:leader="none"/>
          <w:tab w:val="left" w:pos="5040" w:leader="none"/>
        </w:tabs>
        <w:jc w:val="both"/>
        <w:rPr>
          <w:i/>
          <w:i/>
          <w:iCs/>
          <w:sz w:val="20"/>
          <w:szCs w:val="20"/>
        </w:rPr>
      </w:pPr>
      <w:r>
        <w:rPr>
          <w:i/>
          <w:iCs/>
          <w:sz w:val="20"/>
          <w:szCs w:val="20"/>
        </w:rPr>
        <w:tab/>
        <w:t>Bradley C. Petzold</w:t>
        <w:tab/>
        <w:t>Mark S. Muller</w:t>
      </w:r>
    </w:p>
    <w:p>
      <w:pPr>
        <w:pStyle w:val="Normal"/>
        <w:tabs>
          <w:tab w:val="clear" w:pos="720"/>
          <w:tab w:val="left" w:pos="1440" w:leader="none"/>
          <w:tab w:val="left" w:pos="5040" w:leader="none"/>
        </w:tabs>
        <w:jc w:val="both"/>
        <w:rPr>
          <w:i/>
          <w:i/>
          <w:iCs/>
          <w:sz w:val="20"/>
          <w:szCs w:val="20"/>
        </w:rPr>
      </w:pPr>
      <w:r>
        <w:rPr>
          <w:i/>
          <w:iCs/>
          <w:sz w:val="20"/>
          <w:szCs w:val="20"/>
        </w:rPr>
        <w:tab/>
        <w:t>P.O. Box 4428</w:t>
        <w:tab/>
        <w:t>P.O. Box 4428</w:t>
      </w:r>
    </w:p>
    <w:p>
      <w:pPr>
        <w:pStyle w:val="Normal"/>
        <w:tabs>
          <w:tab w:val="clear" w:pos="720"/>
          <w:tab w:val="left" w:pos="1440" w:leader="none"/>
          <w:tab w:val="left" w:pos="5040" w:leader="none"/>
        </w:tabs>
        <w:jc w:val="both"/>
        <w:rPr>
          <w:i/>
          <w:i/>
          <w:iCs/>
          <w:sz w:val="20"/>
          <w:szCs w:val="20"/>
        </w:rPr>
      </w:pPr>
      <w:r>
        <w:rPr>
          <w:i/>
          <w:iCs/>
          <w:sz w:val="20"/>
          <w:szCs w:val="20"/>
        </w:rPr>
        <w:tab/>
        <w:t>Houston, Texas  77210-4428</w:t>
        <w:tab/>
        <w:t>Houston, Texas  77210-4428</w:t>
      </w:r>
    </w:p>
    <w:p>
      <w:pPr>
        <w:pStyle w:val="Normal"/>
        <w:tabs>
          <w:tab w:val="clear" w:pos="720"/>
          <w:tab w:val="left" w:pos="1440" w:leader="none"/>
          <w:tab w:val="left" w:pos="5040" w:leader="none"/>
        </w:tabs>
        <w:jc w:val="both"/>
        <w:rPr>
          <w:i/>
          <w:i/>
          <w:iCs/>
          <w:sz w:val="20"/>
          <w:szCs w:val="20"/>
        </w:rPr>
      </w:pPr>
      <w:r>
        <w:rPr>
          <w:i/>
          <w:iCs/>
          <w:sz w:val="20"/>
          <w:szCs w:val="20"/>
        </w:rPr>
        <w:tab/>
        <w:t>Telephone:  713/853-1611</w:t>
        <w:tab/>
        <w:t>Telephone:  713/853-5654</w:t>
      </w:r>
    </w:p>
    <w:p>
      <w:pPr>
        <w:pStyle w:val="Normal"/>
        <w:tabs>
          <w:tab w:val="clear" w:pos="720"/>
          <w:tab w:val="left" w:pos="1440" w:leader="none"/>
          <w:tab w:val="left" w:pos="5040" w:leader="none"/>
        </w:tabs>
        <w:jc w:val="both"/>
        <w:rPr>
          <w:i/>
          <w:i/>
          <w:iCs/>
          <w:sz w:val="20"/>
          <w:szCs w:val="20"/>
        </w:rPr>
      </w:pPr>
      <w:r>
        <w:rPr>
          <w:i/>
          <w:iCs/>
          <w:sz w:val="20"/>
          <w:szCs w:val="20"/>
        </w:rPr>
        <w:tab/>
        <w:t>Facsimile:  713/646-5801</w:t>
        <w:tab/>
        <w:t>Facsimile:  713/646-5801</w:t>
      </w:r>
    </w:p>
    <w:p>
      <w:pPr>
        <w:pStyle w:val="Normal"/>
        <w:tabs>
          <w:tab w:val="clear" w:pos="720"/>
          <w:tab w:val="left" w:pos="1440" w:leader="none"/>
          <w:tab w:val="left" w:pos="5040" w:leader="none"/>
        </w:tabs>
        <w:jc w:val="both"/>
        <w:rPr>
          <w:i/>
          <w:i/>
          <w:iCs/>
          <w:sz w:val="20"/>
          <w:szCs w:val="20"/>
        </w:rPr>
      </w:pPr>
      <w:r>
        <w:rPr>
          <w:i/>
          <w:iCs/>
          <w:sz w:val="20"/>
          <w:szCs w:val="20"/>
        </w:rPr>
      </w:r>
    </w:p>
    <w:p>
      <w:pPr>
        <w:pStyle w:val="Normal"/>
        <w:rPr>
          <w:sz w:val="22"/>
          <w:szCs w:val="22"/>
        </w:rPr>
      </w:pPr>
      <w:r>
        <w:rPr>
          <w:sz w:val="22"/>
          <w:szCs w:val="22"/>
        </w:rPr>
        <w:tab/>
        <w:t>We appreciate the opportunity to express our interest in the proposed transaction and we will look forward to hearing from you.</w:t>
      </w:r>
    </w:p>
    <w:p>
      <w:pPr>
        <w:pStyle w:val="Normal"/>
        <w:rPr>
          <w:sz w:val="22"/>
          <w:szCs w:val="22"/>
        </w:rPr>
      </w:pPr>
      <w:r>
        <w:rPr>
          <w:sz w:val="22"/>
          <w:szCs w:val="22"/>
        </w:rPr>
      </w:r>
    </w:p>
    <w:p>
      <w:pPr>
        <w:pStyle w:val="Normal"/>
        <w:tabs>
          <w:tab w:val="clear" w:pos="720"/>
          <w:tab w:val="left" w:pos="5040" w:leader="none"/>
        </w:tabs>
        <w:rPr>
          <w:sz w:val="22"/>
          <w:szCs w:val="22"/>
        </w:rPr>
      </w:pPr>
      <w:r>
        <w:rPr>
          <w:sz w:val="22"/>
          <w:szCs w:val="22"/>
        </w:rPr>
        <w:tab/>
        <w:t>Sincerely,</w:t>
      </w:r>
    </w:p>
    <w:p>
      <w:pPr>
        <w:pStyle w:val="Normal"/>
        <w:tabs>
          <w:tab w:val="clear" w:pos="720"/>
          <w:tab w:val="left" w:pos="5040" w:leader="none"/>
        </w:tabs>
        <w:rPr>
          <w:sz w:val="22"/>
          <w:szCs w:val="22"/>
        </w:rPr>
      </w:pPr>
      <w:r>
        <w:rPr>
          <w:sz w:val="22"/>
          <w:szCs w:val="22"/>
        </w:rPr>
      </w:r>
    </w:p>
    <w:p>
      <w:pPr>
        <w:pStyle w:val="Normal"/>
        <w:tabs>
          <w:tab w:val="clear" w:pos="720"/>
          <w:tab w:val="left" w:pos="5040" w:leader="none"/>
        </w:tabs>
        <w:rPr>
          <w:sz w:val="22"/>
          <w:szCs w:val="22"/>
        </w:rPr>
      </w:pPr>
      <w:r>
        <w:rPr>
          <w:sz w:val="22"/>
          <w:szCs w:val="22"/>
        </w:rPr>
      </w:r>
    </w:p>
    <w:p>
      <w:pPr>
        <w:pStyle w:val="Normal"/>
        <w:tabs>
          <w:tab w:val="clear" w:pos="720"/>
          <w:tab w:val="left" w:pos="5040" w:leader="none"/>
        </w:tabs>
        <w:rPr>
          <w:sz w:val="22"/>
          <w:szCs w:val="22"/>
        </w:rPr>
      </w:pPr>
      <w:r>
        <w:rPr>
          <w:sz w:val="22"/>
          <w:szCs w:val="22"/>
        </w:rPr>
      </w:r>
    </w:p>
    <w:p>
      <w:pPr>
        <w:pStyle w:val="Normal"/>
        <w:tabs>
          <w:tab w:val="clear" w:pos="720"/>
          <w:tab w:val="left" w:pos="5040" w:leader="none"/>
        </w:tabs>
        <w:rPr>
          <w:sz w:val="22"/>
          <w:szCs w:val="22"/>
        </w:rPr>
      </w:pPr>
      <w:r>
        <w:rPr>
          <w:sz w:val="22"/>
          <w:szCs w:val="22"/>
        </w:rPr>
        <w:tab/>
        <w:t>Bradley C. Petzold,</w:t>
      </w:r>
    </w:p>
    <w:p>
      <w:pPr>
        <w:pStyle w:val="Normal"/>
        <w:tabs>
          <w:tab w:val="clear" w:pos="720"/>
          <w:tab w:val="left" w:pos="5040" w:leader="none"/>
        </w:tabs>
        <w:rPr>
          <w:sz w:val="22"/>
          <w:szCs w:val="22"/>
        </w:rPr>
      </w:pPr>
      <w:r>
        <w:rPr>
          <w:sz w:val="22"/>
          <w:szCs w:val="22"/>
        </w:rPr>
        <w:tab/>
        <w:t>Vice President</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cc:</w:t>
        <w:tab/>
        <w:t>Mark Muller</w:t>
      </w:r>
      <w:r>
        <w:br w:type="page"/>
      </w:r>
    </w:p>
    <w:p>
      <w:pPr>
        <w:pStyle w:val="Normal"/>
        <w:rPr>
          <w:sz w:val="22"/>
          <w:szCs w:val="22"/>
        </w:rPr>
      </w:pPr>
      <w:r>
        <w:rPr>
          <w:sz w:val="22"/>
          <w:szCs w:val="22"/>
        </w:rPr>
      </w:r>
    </w:p>
    <w:p>
      <w:pPr>
        <w:pStyle w:val="Normal"/>
        <w:rPr>
          <w:sz w:val="22"/>
          <w:szCs w:val="22"/>
        </w:rPr>
      </w:pPr>
      <w:r>
        <w:rPr>
          <w:sz w:val="22"/>
          <w:szCs w:val="22"/>
        </w:rPr>
        <w:t>bcc:</w:t>
        <w:tab/>
        <w:t>Greg Sharp</w:t>
      </w:r>
    </w:p>
    <w:p>
      <w:pPr>
        <w:pStyle w:val="Normal"/>
        <w:rPr>
          <w:sz w:val="22"/>
          <w:szCs w:val="22"/>
        </w:rPr>
      </w:pPr>
      <w:r>
        <w:rPr>
          <w:sz w:val="22"/>
          <w:szCs w:val="22"/>
        </w:rPr>
        <w:tab/>
        <w:t>Brian Bierbach</w:t>
      </w:r>
    </w:p>
    <w:p>
      <w:pPr>
        <w:pStyle w:val="Normal"/>
        <w:rPr>
          <w:sz w:val="22"/>
          <w:szCs w:val="22"/>
        </w:rPr>
      </w:pPr>
      <w:r>
        <w:rPr>
          <w:sz w:val="22"/>
          <w:szCs w:val="22"/>
        </w:rPr>
        <w:tab/>
        <w:t>Luke Clemente</w:t>
      </w:r>
    </w:p>
    <w:p>
      <w:pPr>
        <w:pStyle w:val="Normal"/>
        <w:rPr>
          <w:sz w:val="22"/>
          <w:szCs w:val="22"/>
        </w:rPr>
      </w:pPr>
      <w:r>
        <w:rPr>
          <w:sz w:val="22"/>
          <w:szCs w:val="22"/>
        </w:rPr>
        <w:tab/>
        <w:t>Adam Gross</w:t>
      </w:r>
    </w:p>
    <w:p>
      <w:pPr>
        <w:pStyle w:val="Normal"/>
        <w:rPr>
          <w:sz w:val="22"/>
          <w:szCs w:val="22"/>
        </w:rPr>
      </w:pPr>
      <w:r>
        <w:rPr>
          <w:sz w:val="22"/>
          <w:szCs w:val="22"/>
        </w:rPr>
        <w:tab/>
        <w:t>Robert Eickenroht</w:t>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imes">
    <w:altName w:val="Times New Roman"/>
    <w:charset w:val="01"/>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szCs w:val="20"/>
      </w:rPr>
    </w:pPr>
    <w:r>
      <w:rPr>
        <w:sz w:val="20"/>
        <w:szCs w:val="20"/>
      </w:rPr>
      <w:t>Rauscher Pierce Refsnes, Inc.</w:t>
    </w:r>
  </w:p>
  <w:p>
    <w:pPr>
      <w:pStyle w:val="Header"/>
      <w:tabs>
        <w:tab w:val="left" w:pos="450" w:leader="none"/>
        <w:tab w:val="center" w:pos="4320" w:leader="none"/>
        <w:tab w:val="right" w:pos="8640" w:leader="none"/>
      </w:tabs>
      <w:rPr>
        <w:sz w:val="20"/>
        <w:szCs w:val="20"/>
      </w:rPr>
    </w:pPr>
    <w:r>
      <w:rPr>
        <w:sz w:val="20"/>
        <w:szCs w:val="20"/>
      </w:rPr>
      <w:t>Re:  Interenergy Corporation</w:t>
    </w:r>
  </w:p>
  <w:p>
    <w:pPr>
      <w:pStyle w:val="Header"/>
      <w:rPr>
        <w:sz w:val="20"/>
        <w:szCs w:val="20"/>
      </w:rPr>
    </w:pPr>
    <w:r>
      <w:rPr>
        <w:sz w:val="20"/>
        <w:szCs w:val="20"/>
      </w:rPr>
      <w:t>May 16, 1997</w:t>
    </w:r>
  </w:p>
  <w:p>
    <w:pPr>
      <w:pStyle w:val="Header"/>
      <w:rPr>
        <w:rStyle w:val="PageNumber"/>
        <w:sz w:val="20"/>
        <w:szCs w:val="20"/>
      </w:rPr>
    </w:pPr>
    <w:r>
      <w:rP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3</w:t>
    </w:r>
    <w:r>
      <w:rPr>
        <w:rStyle w:val="PageNumber"/>
        <w:sz w:val="20"/>
        <w:szCs w:val="20"/>
      </w:rPr>
      <w:fldChar w:fldCharType="end"/>
    </w:r>
  </w:p>
  <w:p>
    <w:pPr>
      <w:pStyle w:val="Header"/>
      <w:rPr>
        <w:rStyle w:val="PageNumber"/>
        <w:sz w:val="20"/>
        <w:szCs w:val="20"/>
      </w:rPr>
    </w:pPr>
    <w:r>
      <w:rPr/>
    </w:r>
  </w:p>
  <w:p>
    <w:pPr>
      <w:pStyle w:val="Header"/>
      <w:rPr>
        <w:rStyle w:val="PageNumber"/>
        <w:sz w:val="20"/>
        <w:szCs w:val="20"/>
      </w:rPr>
    </w:pPr>
    <w:r>
      <w:rPr/>
    </w:r>
  </w:p>
  <w:p>
    <w:pPr>
      <w:pStyle w:val="Header"/>
      <w:rPr>
        <w:rStyle w:val="PageNumber"/>
        <w:sz w:val="20"/>
        <w:szCs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imes" w:hAnsi="Times" w:eastAsia="Times" w:cs="Times"/>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Exprint</Template>
  <TotalTime>142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1997-05-16T16:45:00Z</dcterms:created>
  <dc:creator>ECT</dc:creator>
  <dc:description/>
  <dc:language>en-CA</dc:language>
  <cp:lastModifiedBy>ECT</cp:lastModifiedBy>
  <cp:lastPrinted>1997-08-14T09:38:00Z</cp:lastPrinted>
  <dcterms:modified xsi:type="dcterms:W3CDTF">1997-08-14T12:10:00Z</dcterms:modified>
  <cp:revision>11</cp:revision>
  <dc:subject/>
  <dc:title>November 8, 1995</dc:title>
</cp:coreProperties>
</file>