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s>
        <w:rPr>
          <w:sz w:val="22"/>
        </w:rPr>
      </w:pPr>
      <w:r>
        <w:drawing>
          <wp:anchor behindDoc="1" distT="0" distB="0" distL="114935" distR="114935" simplePos="0" locked="0" layoutInCell="0" allowOverlap="1" relativeHeight="2">
            <wp:simplePos x="0" y="0"/>
            <wp:positionH relativeFrom="column">
              <wp:posOffset>5212080</wp:posOffset>
            </wp:positionH>
            <wp:positionV relativeFrom="paragraph">
              <wp:posOffset>-1306830</wp:posOffset>
            </wp:positionV>
            <wp:extent cx="850900" cy="914400"/>
            <wp:effectExtent l="0" t="0" r="0" b="0"/>
            <wp:wrapTight wrapText="bothSides">
              <wp:wrapPolygon edited="0">
                <wp:start x="-241" y="0"/>
                <wp:lineTo x="-241" y="21373"/>
                <wp:lineTo x="21600" y="21373"/>
                <wp:lineTo x="21600" y="0"/>
                <wp:lineTo x="-241" y="0"/>
              </wp:wrapPolygon>
            </wp:wrapTight>
            <wp:docPr id="1" name="ZEG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GLogo" descr="" title=""/>
                    <pic:cNvPicPr>
                      <a:picLocks noChangeAspect="1" noChangeArrowheads="1"/>
                    </pic:cNvPicPr>
                  </pic:nvPicPr>
                  <pic:blipFill>
                    <a:blip r:embed="rId2"/>
                    <a:srcRect l="-5" t="-5" r="-5" b="-5"/>
                    <a:stretch>
                      <a:fillRect/>
                    </a:stretch>
                  </pic:blipFill>
                  <pic:spPr bwMode="auto">
                    <a:xfrm>
                      <a:off x="0" y="0"/>
                      <a:ext cx="850900" cy="914400"/>
                    </a:xfrm>
                    <a:prstGeom prst="rect">
                      <a:avLst/>
                    </a:prstGeom>
                    <a:noFill/>
                  </pic:spPr>
                </pic:pic>
              </a:graphicData>
            </a:graphic>
          </wp:anchor>
        </w:drawing>
      </w:r>
      <w:r>
        <w:rPr>
          <w:sz w:val="22"/>
        </w:rPr>
        <w:t>May 28, 2001</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File #: 01CC-1001</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Enron Corporation</w:t>
      </w:r>
    </w:p>
    <w:p>
      <w:pPr>
        <w:pStyle w:val="Normal"/>
        <w:tabs>
          <w:tab w:val="clear" w:pos="720"/>
          <w:tab w:val="left" w:pos="1440" w:leader="none"/>
        </w:tabs>
        <w:rPr>
          <w:sz w:val="22"/>
        </w:rPr>
      </w:pPr>
      <w:r>
        <w:rPr>
          <w:sz w:val="22"/>
        </w:rPr>
        <w:t>P.O. Box 1188</w:t>
      </w:r>
    </w:p>
    <w:p>
      <w:pPr>
        <w:pStyle w:val="Normal"/>
        <w:tabs>
          <w:tab w:val="clear" w:pos="720"/>
          <w:tab w:val="left" w:pos="1440" w:leader="none"/>
        </w:tabs>
        <w:rPr>
          <w:sz w:val="22"/>
        </w:rPr>
      </w:pPr>
      <w:r>
        <w:rPr>
          <w:sz w:val="22"/>
        </w:rPr>
        <w:t>Houston, Texas 77002</w:t>
      </w:r>
    </w:p>
    <w:p>
      <w:pPr>
        <w:pStyle w:val="Normal"/>
        <w:tabs>
          <w:tab w:val="clear" w:pos="720"/>
          <w:tab w:val="left" w:pos="1440" w:leader="none"/>
        </w:tabs>
        <w:rPr>
          <w:sz w:val="22"/>
        </w:rPr>
      </w:pPr>
      <w:r>
        <w:rPr>
          <w:sz w:val="22"/>
        </w:rPr>
        <w:t>Klay@enron.com</w:t>
      </w:r>
    </w:p>
    <w:p>
      <w:pPr>
        <w:pStyle w:val="Header"/>
        <w:tabs>
          <w:tab w:val="clear" w:pos="4320"/>
          <w:tab w:val="clear" w:pos="8640"/>
          <w:tab w:val="left" w:pos="1440" w:leader="none"/>
        </w:tabs>
        <w:rPr>
          <w:sz w:val="22"/>
        </w:rPr>
      </w:pPr>
      <w:r>
        <w:rPr>
          <w:sz w:val="22"/>
        </w:rPr>
      </w:r>
    </w:p>
    <w:p>
      <w:pPr>
        <w:pStyle w:val="Normal"/>
        <w:tabs>
          <w:tab w:val="clear" w:pos="720"/>
          <w:tab w:val="left" w:pos="1440" w:leader="none"/>
        </w:tabs>
        <w:rPr>
          <w:b/>
          <w:sz w:val="22"/>
        </w:rPr>
      </w:pPr>
      <w:r>
        <w:rPr>
          <w:b/>
          <w:sz w:val="22"/>
        </w:rPr>
        <w:t>Attention:</w:t>
        <w:tab/>
        <w:t>Mr. K.L. Lay</w:t>
      </w:r>
    </w:p>
    <w:p>
      <w:pPr>
        <w:pStyle w:val="Normal"/>
        <w:tabs>
          <w:tab w:val="clear" w:pos="720"/>
          <w:tab w:val="left" w:pos="1440" w:leader="none"/>
        </w:tabs>
        <w:rPr>
          <w:b/>
          <w:sz w:val="22"/>
        </w:rPr>
      </w:pPr>
      <w:r>
        <w:rPr>
          <w:b/>
          <w:sz w:val="22"/>
        </w:rPr>
        <w:tab/>
        <w:t>Chairman of the Board</w:t>
      </w:r>
    </w:p>
    <w:p>
      <w:pPr>
        <w:pStyle w:val="Normal"/>
        <w:tabs>
          <w:tab w:val="clear" w:pos="720"/>
          <w:tab w:val="left" w:pos="1440" w:leader="none"/>
        </w:tabs>
        <w:rPr>
          <w:b/>
          <w:sz w:val="22"/>
        </w:rPr>
      </w:pPr>
      <w:r>
        <w:rPr>
          <w:b/>
          <w:sz w:val="22"/>
        </w:rPr>
      </w:r>
    </w:p>
    <w:p>
      <w:pPr>
        <w:pStyle w:val="Normal"/>
        <w:tabs>
          <w:tab w:val="clear" w:pos="720"/>
          <w:tab w:val="left" w:pos="1440" w:leader="none"/>
        </w:tabs>
        <w:rPr>
          <w:sz w:val="22"/>
        </w:rPr>
      </w:pPr>
      <w:r>
        <w:rPr>
          <w:sz w:val="22"/>
        </w:rPr>
        <w:t>Dear Ken:</w:t>
      </w:r>
    </w:p>
    <w:p>
      <w:pPr>
        <w:pStyle w:val="Normal"/>
        <w:tabs>
          <w:tab w:val="clear" w:pos="720"/>
          <w:tab w:val="left" w:pos="1440" w:leader="none"/>
        </w:tabs>
        <w:rPr>
          <w:sz w:val="22"/>
        </w:rPr>
      </w:pPr>
      <w:r>
        <w:rPr>
          <w:sz w:val="22"/>
        </w:rPr>
      </w:r>
    </w:p>
    <w:p>
      <w:pPr>
        <w:pStyle w:val="Normal"/>
        <w:tabs>
          <w:tab w:val="clear" w:pos="720"/>
          <w:tab w:val="left" w:pos="1440" w:leader="none"/>
        </w:tabs>
        <w:rPr>
          <w:b/>
          <w:sz w:val="22"/>
        </w:rPr>
      </w:pPr>
      <w:r>
        <w:rPr>
          <w:b/>
          <w:sz w:val="22"/>
        </w:rPr>
        <w:t>Re:</w:t>
        <w:tab/>
        <w:t>North American Gas Strategies Conference</w:t>
      </w:r>
    </w:p>
    <w:p>
      <w:pPr>
        <w:pStyle w:val="Normal"/>
        <w:tabs>
          <w:tab w:val="clear" w:pos="720"/>
          <w:tab w:val="left" w:pos="1440" w:leader="none"/>
        </w:tabs>
        <w:rPr>
          <w:sz w:val="22"/>
        </w:rPr>
      </w:pPr>
      <w:r>
        <w:rPr>
          <w:b/>
          <w:sz w:val="22"/>
        </w:rPr>
        <w:tab/>
        <w:t>November 5 &amp; 6, 2001, Calgary – Keynote Speaker Invitation</w:t>
      </w:r>
    </w:p>
    <w:p>
      <w:pPr>
        <w:pStyle w:val="Normal"/>
        <w:rPr>
          <w:sz w:val="22"/>
          <w:u w:val="single"/>
          <w:lang w:val="en-GB" w:eastAsia="en-US"/>
        </w:rPr>
      </w:pPr>
      <w:r>
        <w:rPr>
          <w:sz w:val="22"/>
          <w:u w:val="single"/>
          <w:lang w:val="en-GB" w:eastAsia="en-US"/>
        </w:rPr>
      </w:r>
    </w:p>
    <w:p>
      <w:pPr>
        <w:pStyle w:val="Normal"/>
        <w:rPr/>
      </w:pPr>
      <w:r>
        <w:rPr>
          <w:sz w:val="22"/>
          <w:lang w:val="en-GB" w:eastAsia="en-US"/>
        </w:rPr>
        <w:t xml:space="preserve">It has been many years since the energy industry, and more specifically the natural gas industry, has been in the  spotlight as it is now.   Whether it’s the current administration’s Energy Plan or the California situation, now there is front page attention most days. In this environment it is critical that the industry’s views are heard.  One of the challenges is to make sure the story being told properly reflects the actual marketplace.   Enron, as one of the </w:t>
      </w:r>
      <w:r>
        <w:rPr>
          <w:i/>
          <w:sz w:val="22"/>
          <w:lang w:val="en-GB" w:eastAsia="en-US"/>
        </w:rPr>
        <w:t>premier energy</w:t>
      </w:r>
      <w:r>
        <w:rPr>
          <w:sz w:val="22"/>
          <w:lang w:val="en-GB" w:eastAsia="en-US"/>
        </w:rPr>
        <w:t xml:space="preserve"> </w:t>
      </w:r>
      <w:r>
        <w:rPr>
          <w:i/>
          <w:sz w:val="22"/>
          <w:lang w:val="en-GB" w:eastAsia="en-US"/>
        </w:rPr>
        <w:t>companies</w:t>
      </w:r>
      <w:r>
        <w:rPr>
          <w:sz w:val="22"/>
          <w:lang w:val="en-GB" w:eastAsia="en-US"/>
        </w:rPr>
        <w:t>,  understands the market dynamics and industry participants would benefit by hearing your perspective.  (Tom Peters highlighted your success at a SPE event last week in Houston.) We would be honored to have you present your views as our Keynote Speaker at our major Conference in Calgary  in November.   Before I elaborate on the invitation I would like to tell you a little about our Conferences and the executive-level attendees.</w:t>
      </w:r>
    </w:p>
    <w:p>
      <w:pPr>
        <w:pStyle w:val="Normal"/>
        <w:rPr>
          <w:sz w:val="22"/>
          <w:lang w:val="en-GB" w:eastAsia="en-US"/>
        </w:rPr>
      </w:pPr>
      <w:r>
        <w:rPr>
          <w:sz w:val="22"/>
          <w:lang w:val="en-GB" w:eastAsia="en-US"/>
        </w:rPr>
      </w:r>
    </w:p>
    <w:p>
      <w:pPr>
        <w:pStyle w:val="Normal"/>
        <w:rPr>
          <w:b/>
          <w:sz w:val="22"/>
          <w:lang w:val="en-GB" w:eastAsia="en-US"/>
        </w:rPr>
      </w:pPr>
      <w:r>
        <w:rPr>
          <w:sz w:val="22"/>
          <w:lang w:val="en-GB" w:eastAsia="en-US"/>
        </w:rPr>
        <w:t xml:space="preserve">As you may be aware, our major gas conferences, held in several North American locations, are designed to assist our gas and E &amp; P clients regarding key future issues. Some attached comments from attendees will demonstrate why these forums are now regarded as </w:t>
      </w:r>
      <w:r>
        <w:rPr>
          <w:b/>
          <w:i/>
          <w:sz w:val="22"/>
          <w:lang w:val="en-GB" w:eastAsia="en-US"/>
        </w:rPr>
        <w:t>the highest quality venues for discussion of gas issues in North America.</w:t>
      </w:r>
      <w:r>
        <w:rPr>
          <w:i/>
          <w:sz w:val="22"/>
          <w:lang w:val="en-GB" w:eastAsia="en-US"/>
        </w:rPr>
        <w:t xml:space="preserve">  </w:t>
      </w:r>
      <w:r>
        <w:rPr>
          <w:sz w:val="22"/>
          <w:lang w:val="en-GB" w:eastAsia="en-US"/>
        </w:rPr>
        <w:t xml:space="preserve">We are pleased to have had strong participation by many of your colleagues in our past conferences,, e.g. Enron speakers include Jeff Skilling, as a Keynote speaker (Calgary ’96); Margaret Carson (Houston ’98); Julie Gomez (Houston ’99); and Greg Piper (Calgary ’99). Many Enron executives have attended our past conferences. </w:t>
      </w:r>
    </w:p>
    <w:p>
      <w:pPr>
        <w:pStyle w:val="Normal"/>
        <w:rPr>
          <w:b/>
          <w:sz w:val="22"/>
          <w:lang w:val="en-GB" w:eastAsia="en-US"/>
        </w:rPr>
      </w:pPr>
      <w:r>
        <w:rPr>
          <w:b/>
          <w:sz w:val="22"/>
          <w:lang w:val="en-GB" w:eastAsia="en-US"/>
        </w:rPr>
      </w:r>
    </w:p>
    <w:p>
      <w:pPr>
        <w:pStyle w:val="Normal"/>
        <w:rPr>
          <w:sz w:val="22"/>
          <w:lang w:val="en-GB" w:eastAsia="en-US"/>
        </w:rPr>
      </w:pPr>
      <w:r>
        <w:rPr>
          <w:sz w:val="22"/>
          <w:lang w:val="en-GB" w:eastAsia="en-US"/>
        </w:rPr>
        <w:t xml:space="preserve">We are now designing our fall 2001 conference program in Calgary.  Day l focuses on the basic issues of supply, markets, and price outlook for natural gas in North America.  Day 2 focuses on the outlook for Canadian gas supply. </w:t>
      </w:r>
    </w:p>
    <w:p>
      <w:pPr>
        <w:pStyle w:val="Header"/>
        <w:tabs>
          <w:tab w:val="clear" w:pos="4320"/>
          <w:tab w:val="clear" w:pos="8640"/>
        </w:tabs>
        <w:rPr>
          <w:sz w:val="22"/>
          <w:lang w:val="en-GB" w:eastAsia="en-US"/>
        </w:rPr>
      </w:pPr>
      <w:r>
        <w:rPr>
          <w:sz w:val="22"/>
          <w:lang w:val="en-GB" w:eastAsia="en-US"/>
        </w:rPr>
      </w:r>
    </w:p>
    <w:p>
      <w:pPr>
        <w:pStyle w:val="Normal"/>
        <w:rPr>
          <w:sz w:val="22"/>
        </w:rPr>
      </w:pPr>
      <w:r>
        <w:rPr>
          <w:sz w:val="22"/>
        </w:rPr>
        <w:t>As you know, the recent surge in gas prices has caused concerns about the future competitiveness of gas, particularly for electricity generation.  For example, Wisconsin Electric recently announced plans to order three new coal-fired power plants, and oil consumption in some Atlantic Coast states has begun to grow at the expense of gas.  A new coal generation plant is being constructed in Pennsylvania, and Cement LaFarge is converting to coal from gas in Alberta.  While near-term future prices for light oil on the NYMEX now exceed Henry Hub prices, by late 2002, future gas prices exceed oil prices.  A critical uncertainty facing the gas industry is to what degree the recent electric and gas price surges indicate an upward shift in gas prices that could affect long-term growth prospects.</w:t>
      </w:r>
    </w:p>
    <w:p>
      <w:pPr>
        <w:pStyle w:val="Normal"/>
        <w:rPr>
          <w:sz w:val="22"/>
        </w:rPr>
      </w:pPr>
      <w:r>
        <w:rPr>
          <w:sz w:val="22"/>
        </w:rPr>
      </w:r>
    </w:p>
    <w:p>
      <w:pPr>
        <w:pStyle w:val="Normal"/>
        <w:rPr/>
      </w:pPr>
      <w:r>
        <w:rPr>
          <w:sz w:val="22"/>
        </w:rPr>
        <w:t xml:space="preserve">I would like to invite you to deliver the </w:t>
      </w:r>
      <w:r>
        <w:rPr>
          <w:b/>
          <w:i/>
          <w:sz w:val="22"/>
        </w:rPr>
        <w:t>Keynote address</w:t>
      </w:r>
      <w:r>
        <w:rPr>
          <w:sz w:val="22"/>
        </w:rPr>
        <w:t xml:space="preserve"> in conjunction with </w:t>
      </w:r>
      <w:r>
        <w:rPr>
          <w:b/>
          <w:i/>
          <w:sz w:val="22"/>
        </w:rPr>
        <w:t xml:space="preserve">the Market Panel on Monday, November 5. </w:t>
      </w:r>
      <w:r>
        <w:rPr>
          <w:sz w:val="22"/>
        </w:rPr>
        <w:t xml:space="preserve">  We would look forward to your views of the natural gas marketplace in North America and how Enron views the future of this competitive industry.  Areas of interest would be the gas/electric convergence, the proliferation and impact of electronic trading and the view of gas as a competitive fuel in the years ahead.   The Market Panel will be will be discussing the developing competition for North American gas production in the North American gas market. We would like y</w:t>
      </w:r>
      <w:r>
        <w:rPr>
          <w:sz w:val="22"/>
          <w:lang w:val="en-GB" w:eastAsia="en-US"/>
        </w:rPr>
        <w:t>ou to speak for 25 minutes, and then respond to audience questions.</w:t>
      </w:r>
    </w:p>
    <w:p>
      <w:pPr>
        <w:pStyle w:val="Normal"/>
        <w:rPr>
          <w:i/>
          <w:i/>
          <w:sz w:val="22"/>
          <w:lang w:val="en-GB" w:eastAsia="en-US"/>
        </w:rPr>
      </w:pPr>
      <w:r>
        <w:rPr>
          <w:i/>
          <w:sz w:val="22"/>
          <w:lang w:val="en-GB" w:eastAsia="en-US"/>
        </w:rPr>
      </w:r>
    </w:p>
    <w:p>
      <w:pPr>
        <w:pStyle w:val="BodyText"/>
        <w:rPr/>
      </w:pPr>
      <w:r>
        <w:rPr/>
        <w:t>We hold a VIP/Speaker’s dinner the Sunday evening preceding (November 4) that would provide you an excellent opportunity to meet or reacquaint with many senior executives in the Canadian E &amp; P industry, and senior government regulators (e.g. NEB, Alberta EUB).</w:t>
      </w:r>
    </w:p>
    <w:p>
      <w:pPr>
        <w:pStyle w:val="Normal"/>
        <w:rPr>
          <w:sz w:val="22"/>
        </w:rPr>
      </w:pPr>
      <w:r>
        <w:rPr>
          <w:sz w:val="22"/>
        </w:rPr>
      </w:r>
    </w:p>
    <w:p>
      <w:pPr>
        <w:pStyle w:val="Normal"/>
        <w:rPr/>
      </w:pPr>
      <w:r>
        <w:rPr>
          <w:sz w:val="22"/>
        </w:rPr>
        <w:t xml:space="preserve">Our objective, Ken, is to present </w:t>
      </w:r>
      <w:r>
        <w:rPr>
          <w:b/>
          <w:i/>
          <w:sz w:val="22"/>
        </w:rPr>
        <w:t>the best gas conference in North America</w:t>
      </w:r>
      <w:r>
        <w:rPr>
          <w:sz w:val="22"/>
        </w:rPr>
        <w:t xml:space="preserve"> in terms of speakers, topics and calibre of attendees. Enclosed are some examples of the excellent response from our recent conferences. We expect over 350 attendees from a wide range of companies in the gas value chain (E&amp;P, midstream, pipelines, LDC’s, cogen’s/IPP’s) many at the CEO or President level, with about representatives from all major North American energy media (25+). Our gas conferences also attract senior investment industry analysts. I can assure you that Ziff Energy will dedicate considerable effort to ensure that this opportunity is worthwhile for Enron in terms of the number and seniority of North American gas audience attending to hear your message.</w:t>
      </w:r>
    </w:p>
    <w:p>
      <w:pPr>
        <w:pStyle w:val="Normal"/>
        <w:rPr>
          <w:sz w:val="22"/>
        </w:rPr>
      </w:pPr>
      <w:r>
        <w:rPr>
          <w:sz w:val="22"/>
        </w:rPr>
      </w:r>
    </w:p>
    <w:p>
      <w:pPr>
        <w:pStyle w:val="Normal"/>
        <w:rPr/>
      </w:pPr>
      <w:r>
        <w:rPr>
          <w:sz w:val="22"/>
        </w:rPr>
        <w:t xml:space="preserve">We hope that you are able to join our roster of senior North American energy executives speaking in Calgary and look forward to your early response to our invitation. If you are able to participate, </w:t>
      </w:r>
      <w:r>
        <w:rPr>
          <w:b/>
          <w:sz w:val="22"/>
        </w:rPr>
        <w:t xml:space="preserve">we would appreciate your confirmation by Friday, June 15. </w:t>
      </w:r>
      <w:r>
        <w:rPr>
          <w:sz w:val="22"/>
        </w:rPr>
        <w:t xml:space="preserve">I can be reached at 403-265-0600 or by return email: </w:t>
      </w:r>
      <w:hyperlink r:id="rId3">
        <w:r>
          <w:rPr>
            <w:rStyle w:val="Hyperlink"/>
            <w:color w:val="auto"/>
            <w:sz w:val="22"/>
          </w:rPr>
          <w:t>pziff@ziffenergy.com</w:t>
        </w:r>
      </w:hyperlink>
      <w:r>
        <w:rPr>
          <w:sz w:val="22"/>
        </w:rPr>
        <w:t xml:space="preserve"> or alternately, contact Ziff’s Conference Director, Shelley Soles, at 403-234-4285 or </w:t>
      </w:r>
      <w:hyperlink r:id="rId4">
        <w:r>
          <w:rPr>
            <w:rStyle w:val="Hyperlink"/>
            <w:color w:val="auto"/>
            <w:sz w:val="22"/>
          </w:rPr>
          <w:t>ssoles@ziffenergy.com</w:t>
        </w:r>
      </w:hyperlink>
      <w:r>
        <w:rPr>
          <w:sz w:val="22"/>
        </w:rPr>
        <w:t>.  We look forward to hearing from you.</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Sincerely,</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b/>
          <w:sz w:val="22"/>
        </w:rPr>
        <w:t>ZIFF ENERGY GROUP</w:t>
      </w:r>
    </w:p>
    <w:p>
      <w:pPr>
        <w:pStyle w:val="Normal"/>
        <w:tabs>
          <w:tab w:val="clear" w:pos="720"/>
          <w:tab w:val="left" w:pos="1440" w:leader="none"/>
        </w:tabs>
        <w:rPr>
          <w:sz w:val="22"/>
        </w:rPr>
      </w:pPr>
      <w:r>
        <w:rPr>
          <w:sz w:val="22"/>
        </w:rPr>
      </w:r>
    </w:p>
    <w:p>
      <w:pPr>
        <w:pStyle w:val="Normal"/>
        <w:tabs>
          <w:tab w:val="clear" w:pos="720"/>
          <w:tab w:val="left" w:pos="1440" w:leader="none"/>
        </w:tabs>
        <w:rPr>
          <w:rFonts w:ascii="Tahoma" w:hAnsi="Tahoma" w:cs="Tahoma"/>
          <w:i/>
          <w:i/>
          <w:sz w:val="22"/>
        </w:rPr>
      </w:pPr>
      <w:r>
        <w:rPr>
          <w:rFonts w:cs="Tahoma" w:ascii="Tahoma" w:hAnsi="Tahoma"/>
          <w:i/>
          <w:sz w:val="22"/>
        </w:rPr>
        <w:t>Paul Ziff</w:t>
      </w:r>
    </w:p>
    <w:p>
      <w:pPr>
        <w:pStyle w:val="Normal"/>
        <w:tabs>
          <w:tab w:val="clear" w:pos="720"/>
          <w:tab w:val="left" w:pos="1440" w:leader="none"/>
        </w:tabs>
        <w:rPr>
          <w:rFonts w:ascii="Tahoma" w:hAnsi="Tahoma" w:cs="Tahoma"/>
          <w:i/>
          <w:i/>
          <w:sz w:val="22"/>
        </w:rPr>
      </w:pPr>
      <w:r>
        <w:rPr>
          <w:rFonts w:cs="Tahoma" w:ascii="Tahoma" w:hAnsi="Tahoma"/>
          <w:i/>
          <w:sz w:val="22"/>
        </w:rPr>
      </w:r>
    </w:p>
    <w:p>
      <w:pPr>
        <w:pStyle w:val="Normal"/>
        <w:tabs>
          <w:tab w:val="clear" w:pos="720"/>
          <w:tab w:val="left" w:pos="1440" w:leader="none"/>
        </w:tabs>
        <w:rPr>
          <w:sz w:val="22"/>
        </w:rPr>
      </w:pPr>
      <w:r>
        <w:rPr>
          <w:sz w:val="22"/>
        </w:rPr>
        <w:t xml:space="preserve">Paul Ziff </w:t>
      </w:r>
    </w:p>
    <w:p>
      <w:pPr>
        <w:pStyle w:val="Normal"/>
        <w:tabs>
          <w:tab w:val="clear" w:pos="720"/>
          <w:tab w:val="left" w:pos="1440" w:leader="none"/>
        </w:tabs>
        <w:rPr>
          <w:sz w:val="22"/>
        </w:rPr>
      </w:pPr>
      <w:r>
        <w:rPr>
          <w:sz w:val="22"/>
        </w:rPr>
        <w:t>CEO</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(PZ/ss)</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t xml:space="preserve">Enclosures:   </w:t>
        <w:tab/>
        <w:t xml:space="preserve">Conference Brochure,  Houston, April 2/3 </w:t>
      </w:r>
    </w:p>
    <w:p>
      <w:pPr>
        <w:pStyle w:val="Normal"/>
        <w:tabs>
          <w:tab w:val="clear" w:pos="720"/>
          <w:tab w:val="left" w:pos="1440" w:leader="none"/>
        </w:tabs>
        <w:rPr>
          <w:sz w:val="22"/>
        </w:rPr>
      </w:pPr>
      <w:r>
        <w:rPr>
          <w:sz w:val="22"/>
        </w:rPr>
        <w:tab/>
        <w:t>Conference Testimonials</w:t>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r>
    </w:p>
    <w:p>
      <w:pPr>
        <w:pStyle w:val="Normal"/>
        <w:tabs>
          <w:tab w:val="clear" w:pos="720"/>
          <w:tab w:val="left" w:pos="1440" w:leader="none"/>
        </w:tabs>
        <w:rPr>
          <w:sz w:val="22"/>
        </w:rPr>
      </w:pPr>
      <w:r>
        <w:rPr>
          <w:sz w:val="22"/>
        </w:rPr>
      </w:r>
    </w:p>
    <w:p>
      <w:pPr>
        <w:pStyle w:val="Normal"/>
        <w:rPr>
          <w:sz w:val="22"/>
        </w:rPr>
      </w:pPr>
      <w:r>
        <w:rPr>
          <w:sz w:val="22"/>
        </w:rPr>
      </w:r>
    </w:p>
    <w:sectPr>
      <w:headerReference w:type="default" r:id="rId5"/>
      <w:headerReference w:type="first" r:id="rId6"/>
      <w:type w:val="nextPage"/>
      <w:pgSz w:w="12240" w:h="15840"/>
      <w:pgMar w:left="1440" w:right="864" w:gutter="0" w:header="706" w:top="762" w:footer="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lang w:val="en-US"/>
      </w:rPr>
    </w:pPr>
    <w:r>
      <w:rPr>
        <w:b/>
        <w:sz w:val="20"/>
        <w:lang w:val="en-US"/>
      </w:rPr>
      <w:t>Enron Corporation</w:t>
    </w:r>
  </w:p>
  <w:p>
    <w:pPr>
      <w:pStyle w:val="Header"/>
      <w:rPr/>
    </w:pPr>
    <w:r>
      <w:rPr>
        <w:b/>
        <w:sz w:val="20"/>
        <w:lang w:val="en-US"/>
      </w:rPr>
      <w:t xml:space="preserve">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2</w:t>
    </w:r>
    <w:r>
      <w:rPr>
        <w:rStyle w:val="PageNumber"/>
        <w:sz w:val="20"/>
        <w:b/>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172" w:type="dxa"/>
      <w:jc w:val="start"/>
      <w:tblInd w:w="-72" w:type="dxa"/>
      <w:tblLayout w:type="fixed"/>
      <w:tblCellMar>
        <w:top w:w="0" w:type="dxa"/>
        <w:start w:w="0" w:type="dxa"/>
        <w:bottom w:w="0" w:type="dxa"/>
        <w:end w:w="0" w:type="dxa"/>
      </w:tblCellMar>
    </w:tblPr>
    <w:tblGrid>
      <w:gridCol w:w="2142"/>
      <w:gridCol w:w="1939"/>
      <w:gridCol w:w="131"/>
      <w:gridCol w:w="2160"/>
      <w:gridCol w:w="1791"/>
      <w:gridCol w:w="9"/>
    </w:tblGrid>
    <w:tr>
      <w:trPr>
        <w:trHeight w:val="280" w:hRule="atLeast"/>
      </w:trPr>
      <w:tc>
        <w:tcPr>
          <w:tcW w:w="8163" w:type="dxa"/>
          <w:gridSpan w:val="5"/>
          <w:tcBorders/>
          <w:vAlign w:val="center"/>
        </w:tcPr>
        <w:p>
          <w:pPr>
            <w:pStyle w:val="Normal"/>
            <w:rPr>
              <w:rFonts w:ascii="Arial" w:hAnsi="Arial" w:cs="Arial"/>
              <w:b/>
              <w:sz w:val="18"/>
            </w:rPr>
          </w:pPr>
          <w:r>
            <w:rPr>
              <w:rFonts w:cs="Arial" w:ascii="Arial" w:hAnsi="Arial"/>
              <w:b/>
              <w:sz w:val="18"/>
            </w:rPr>
            <w:t>North American Energy Advisors</w:t>
          </w:r>
        </w:p>
        <w:p>
          <w:pPr>
            <w:pStyle w:val="Normal"/>
            <w:rPr>
              <w:rFonts w:ascii="Arial" w:hAnsi="Arial" w:cs="Arial"/>
              <w:b/>
              <w:i/>
              <w:i/>
              <w:sz w:val="18"/>
            </w:rPr>
          </w:pPr>
          <w:r>
            <w:rPr>
              <w:rFonts w:cs="Arial" w:ascii="Arial" w:hAnsi="Arial"/>
              <w:b/>
              <w:i/>
              <w:sz w:val="18"/>
            </w:rPr>
          </w:r>
        </w:p>
      </w:tc>
    </w:tr>
    <w:tr>
      <w:trPr>
        <w:trHeight w:val="280" w:hRule="atLeast"/>
      </w:trPr>
      <w:tc>
        <w:tcPr>
          <w:tcW w:w="8163" w:type="dxa"/>
          <w:gridSpan w:val="5"/>
          <w:tcBorders/>
          <w:vAlign w:val="center"/>
        </w:tcPr>
        <w:p>
          <w:pPr>
            <w:pStyle w:val="Normal"/>
            <w:jc w:val="center"/>
            <w:rPr>
              <w:rFonts w:ascii="Arial" w:hAnsi="Arial" w:cs="Arial"/>
              <w:b/>
              <w:i/>
              <w:i/>
              <w:sz w:val="16"/>
            </w:rPr>
          </w:pPr>
          <w:r>
            <w:rPr>
              <w:rFonts w:cs="Arial" w:ascii="Arial" w:hAnsi="Arial"/>
              <w:b/>
              <w:i/>
              <w:sz w:val="16"/>
            </w:rPr>
            <w:t>Paul Ziff, CEO</w:t>
          </w:r>
        </w:p>
        <w:p>
          <w:pPr>
            <w:pStyle w:val="Normal"/>
            <w:jc w:val="center"/>
            <w:rPr>
              <w:rFonts w:ascii="Arial" w:hAnsi="Arial" w:cs="Arial"/>
              <w:b/>
              <w:i/>
              <w:i/>
              <w:sz w:val="8"/>
            </w:rPr>
          </w:pPr>
          <w:r>
            <w:rPr>
              <w:rFonts w:cs="Arial" w:ascii="Arial" w:hAnsi="Arial"/>
              <w:b/>
              <w:i/>
              <w:sz w:val="8"/>
            </w:rPr>
          </w:r>
        </w:p>
      </w:tc>
    </w:tr>
    <w:tr>
      <w:trPr>
        <w:trHeight w:val="280" w:hRule="atLeast"/>
      </w:trPr>
      <w:tc>
        <w:tcPr>
          <w:tcW w:w="4081" w:type="dxa"/>
          <w:gridSpan w:val="2"/>
          <w:tcBorders/>
          <w:vAlign w:val="center"/>
        </w:tcPr>
        <w:p>
          <w:pPr>
            <w:pStyle w:val="Normal"/>
            <w:numPr>
              <w:ilvl w:val="0"/>
              <w:numId w:val="0"/>
            </w:numPr>
            <w:jc w:val="center"/>
            <w:outlineLvl w:val="0"/>
            <w:rPr>
              <w:rFonts w:ascii="Arial" w:hAnsi="Arial" w:cs="Arial"/>
              <w:b/>
              <w:i/>
              <w:i/>
              <w:sz w:val="16"/>
            </w:rPr>
          </w:pPr>
          <w:r>
            <w:rPr>
              <w:rFonts w:cs="Arial" w:ascii="Arial" w:hAnsi="Arial"/>
              <w:b/>
              <w:i/>
              <w:sz w:val="16"/>
            </w:rPr>
            <w:t>Calgary Office</w:t>
          </w:r>
        </w:p>
      </w:tc>
      <w:tc>
        <w:tcPr>
          <w:tcW w:w="4082" w:type="dxa"/>
          <w:gridSpan w:val="3"/>
          <w:tcBorders/>
          <w:vAlign w:val="center"/>
        </w:tcPr>
        <w:p>
          <w:pPr>
            <w:pStyle w:val="Normal"/>
            <w:jc w:val="center"/>
            <w:rPr>
              <w:b/>
              <w:i/>
              <w:i/>
            </w:rPr>
          </w:pPr>
          <w:r>
            <w:rPr>
              <w:rFonts w:cs="Arial" w:ascii="Arial" w:hAnsi="Arial"/>
              <w:b/>
              <w:i/>
              <w:sz w:val="16"/>
            </w:rPr>
            <w:t>Houston Office</w:t>
          </w:r>
        </w:p>
      </w:tc>
    </w:tr>
    <w:tr>
      <w:trPr>
        <w:trHeight w:val="880" w:hRule="atLeast"/>
      </w:trPr>
      <w:tc>
        <w:tcPr>
          <w:tcW w:w="2142" w:type="dxa"/>
          <w:tcBorders/>
        </w:tcPr>
        <w:p>
          <w:pPr>
            <w:pStyle w:val="Normal"/>
            <w:rPr>
              <w:rFonts w:ascii="Arial" w:hAnsi="Arial" w:cs="Arial"/>
              <w:b/>
              <w:i/>
              <w:i/>
              <w:sz w:val="14"/>
            </w:rPr>
          </w:pPr>
          <w:r>
            <w:rPr>
              <w:rFonts w:cs="Arial" w:ascii="Arial" w:hAnsi="Arial"/>
              <w:b/>
              <w:i/>
              <w:sz w:val="14"/>
              <w:lang w:val="en-US"/>
            </w:rPr>
            <w:t>Richard G. DeWolf,</w:t>
          </w:r>
          <w:r>
            <w:rPr>
              <w:rFonts w:cs="Arial" w:ascii="Arial" w:hAnsi="Arial"/>
              <w:i/>
              <w:sz w:val="14"/>
              <w:lang w:val="en-US"/>
            </w:rPr>
            <w:t xml:space="preserve"> Sr. VP</w:t>
          </w:r>
        </w:p>
        <w:p>
          <w:pPr>
            <w:pStyle w:val="Normal"/>
            <w:rPr/>
          </w:pPr>
          <w:r>
            <w:rPr>
              <w:rFonts w:cs="Arial" w:ascii="Arial" w:hAnsi="Arial"/>
              <w:b/>
              <w:i/>
              <w:sz w:val="14"/>
            </w:rPr>
            <w:t>G. Gordon Clarke,</w:t>
          </w:r>
          <w:r>
            <w:rPr>
              <w:rFonts w:cs="Arial" w:ascii="Arial" w:hAnsi="Arial"/>
              <w:i/>
              <w:sz w:val="14"/>
            </w:rPr>
            <w:t xml:space="preserve"> Sr. Assoc.</w:t>
          </w:r>
          <w:r>
            <w:rPr>
              <w:rFonts w:cs="Arial" w:ascii="Arial" w:hAnsi="Arial"/>
              <w:b/>
              <w:i/>
              <w:sz w:val="14"/>
            </w:rPr>
            <w:t xml:space="preserve"> </w:t>
          </w:r>
        </w:p>
        <w:p>
          <w:pPr>
            <w:pStyle w:val="Normal"/>
            <w:rPr/>
          </w:pPr>
          <w:r>
            <w:rPr>
              <w:rFonts w:cs="Arial" w:ascii="Arial" w:hAnsi="Arial"/>
              <w:b/>
              <w:i/>
              <w:sz w:val="14"/>
            </w:rPr>
            <w:t>Robert J. Reid,</w:t>
          </w:r>
          <w:r>
            <w:rPr>
              <w:rFonts w:cs="Arial" w:ascii="Arial" w:hAnsi="Arial"/>
              <w:i/>
              <w:sz w:val="14"/>
            </w:rPr>
            <w:t xml:space="preserve"> Sr. Assoc.</w:t>
          </w:r>
        </w:p>
        <w:p>
          <w:pPr>
            <w:pStyle w:val="Normal"/>
            <w:rPr>
              <w:rFonts w:ascii="Arial" w:hAnsi="Arial" w:cs="Arial"/>
              <w:b/>
              <w:i/>
              <w:i/>
              <w:sz w:val="14"/>
              <w:lang w:val="en-US"/>
            </w:rPr>
          </w:pPr>
          <w:r>
            <w:rPr>
              <w:rFonts w:cs="Arial" w:ascii="Arial" w:hAnsi="Arial"/>
              <w:b/>
              <w:i/>
              <w:sz w:val="14"/>
              <w:lang w:val="en-US"/>
            </w:rPr>
          </w:r>
        </w:p>
      </w:tc>
      <w:tc>
        <w:tcPr>
          <w:tcW w:w="2070" w:type="dxa"/>
          <w:gridSpan w:val="2"/>
          <w:tcBorders/>
        </w:tcPr>
        <w:p>
          <w:pPr>
            <w:pStyle w:val="Normal"/>
            <w:rPr/>
          </w:pPr>
          <w:r>
            <w:rPr>
              <w:rFonts w:cs="Arial" w:ascii="Arial" w:hAnsi="Arial"/>
              <w:b/>
              <w:i/>
              <w:sz w:val="14"/>
            </w:rPr>
            <w:t>W. P. (Bill) Gwozd,</w:t>
          </w:r>
          <w:r>
            <w:rPr>
              <w:sz w:val="14"/>
            </w:rPr>
            <w:t xml:space="preserve"> </w:t>
          </w:r>
          <w:r>
            <w:rPr>
              <w:rFonts w:cs="Arial" w:ascii="Arial" w:hAnsi="Arial"/>
              <w:i/>
              <w:sz w:val="14"/>
            </w:rPr>
            <w:t>Manager</w:t>
          </w:r>
        </w:p>
        <w:p>
          <w:pPr>
            <w:pStyle w:val="Normal"/>
            <w:rPr/>
          </w:pPr>
          <w:r>
            <w:rPr>
              <w:rFonts w:cs="Arial" w:ascii="Arial" w:hAnsi="Arial"/>
              <w:b/>
              <w:i/>
              <w:sz w:val="14"/>
            </w:rPr>
            <w:t>Court Mackid,</w:t>
          </w:r>
          <w:r>
            <w:rPr>
              <w:rFonts w:cs="Arial" w:ascii="Arial" w:hAnsi="Arial"/>
              <w:i/>
              <w:sz w:val="14"/>
            </w:rPr>
            <w:t xml:space="preserve"> Manager</w:t>
          </w:r>
        </w:p>
        <w:p>
          <w:pPr>
            <w:pStyle w:val="Normal"/>
            <w:rPr/>
          </w:pPr>
          <w:r>
            <w:rPr>
              <w:rFonts w:cs="Arial" w:ascii="Arial" w:hAnsi="Arial"/>
              <w:b/>
              <w:i/>
              <w:sz w:val="14"/>
            </w:rPr>
            <w:t>Razvan Sima</w:t>
          </w:r>
          <w:r>
            <w:rPr>
              <w:rFonts w:cs="Arial" w:ascii="Arial" w:hAnsi="Arial"/>
              <w:i/>
              <w:sz w:val="14"/>
            </w:rPr>
            <w:t>, Manager</w:t>
          </w:r>
        </w:p>
        <w:p>
          <w:pPr>
            <w:pStyle w:val="Normal"/>
            <w:rPr/>
          </w:pPr>
          <w:r>
            <w:rPr>
              <w:rFonts w:cs="Arial" w:ascii="Arial" w:hAnsi="Arial"/>
              <w:b/>
              <w:i/>
              <w:sz w:val="14"/>
            </w:rPr>
            <w:t>William Winnick,</w:t>
          </w:r>
          <w:r>
            <w:rPr>
              <w:sz w:val="14"/>
            </w:rPr>
            <w:t xml:space="preserve"> </w:t>
          </w:r>
          <w:r>
            <w:rPr>
              <w:rFonts w:cs="Arial" w:ascii="Arial" w:hAnsi="Arial"/>
              <w:i/>
              <w:sz w:val="14"/>
            </w:rPr>
            <w:t>Manager</w:t>
          </w:r>
        </w:p>
        <w:p>
          <w:pPr>
            <w:pStyle w:val="Normal"/>
            <w:rPr/>
          </w:pPr>
          <w:r>
            <w:rPr>
              <w:rFonts w:cs="Arial" w:ascii="Arial" w:hAnsi="Arial"/>
              <w:b/>
              <w:i/>
              <w:sz w:val="14"/>
            </w:rPr>
            <w:t>Shelley Soles,</w:t>
          </w:r>
          <w:r>
            <w:rPr>
              <w:rFonts w:cs="Arial" w:ascii="Arial" w:hAnsi="Arial"/>
              <w:i/>
              <w:sz w:val="14"/>
            </w:rPr>
            <w:t xml:space="preserve"> Conference Dir.</w:t>
          </w:r>
        </w:p>
      </w:tc>
      <w:tc>
        <w:tcPr>
          <w:tcW w:w="2160" w:type="dxa"/>
          <w:tcBorders/>
        </w:tcPr>
        <w:p>
          <w:pPr>
            <w:pStyle w:val="Normal"/>
            <w:numPr>
              <w:ilvl w:val="0"/>
              <w:numId w:val="0"/>
            </w:numPr>
            <w:outlineLvl w:val="0"/>
            <w:rPr/>
          </w:pPr>
          <w:r>
            <w:rPr>
              <w:rFonts w:cs="Arial" w:ascii="Arial" w:hAnsi="Arial"/>
              <w:b/>
              <w:i/>
              <w:sz w:val="14"/>
            </w:rPr>
            <w:t>Adrian H. Goodisman,</w:t>
          </w:r>
          <w:r>
            <w:rPr>
              <w:rFonts w:cs="Arial" w:ascii="Arial" w:hAnsi="Arial"/>
              <w:i/>
              <w:sz w:val="14"/>
            </w:rPr>
            <w:t xml:space="preserve"> Sr. VP</w:t>
          </w:r>
        </w:p>
        <w:p>
          <w:pPr>
            <w:pStyle w:val="Normal"/>
            <w:numPr>
              <w:ilvl w:val="0"/>
              <w:numId w:val="0"/>
            </w:numPr>
            <w:outlineLvl w:val="0"/>
            <w:rPr/>
          </w:pPr>
          <w:r>
            <w:rPr>
              <w:rFonts w:cs="Arial" w:ascii="Arial" w:hAnsi="Arial"/>
              <w:b/>
              <w:i/>
              <w:sz w:val="14"/>
            </w:rPr>
            <w:t>Luis Bacigalupo,</w:t>
          </w:r>
          <w:r>
            <w:rPr>
              <w:rFonts w:cs="Arial" w:ascii="Arial" w:hAnsi="Arial"/>
              <w:i/>
              <w:sz w:val="14"/>
            </w:rPr>
            <w:t xml:space="preserve"> VP</w:t>
          </w:r>
        </w:p>
        <w:p>
          <w:pPr>
            <w:pStyle w:val="Normal"/>
            <w:numPr>
              <w:ilvl w:val="0"/>
              <w:numId w:val="0"/>
            </w:numPr>
            <w:outlineLvl w:val="0"/>
            <w:rPr/>
          </w:pPr>
          <w:r>
            <w:rPr>
              <w:rFonts w:cs="Arial" w:ascii="Arial" w:hAnsi="Arial"/>
              <w:b/>
              <w:i/>
              <w:sz w:val="14"/>
            </w:rPr>
            <w:t>Richard M. Tucker,</w:t>
          </w:r>
          <w:r>
            <w:rPr>
              <w:rFonts w:cs="Arial" w:ascii="Arial" w:hAnsi="Arial"/>
              <w:i/>
              <w:sz w:val="14"/>
            </w:rPr>
            <w:t xml:space="preserve"> VP</w:t>
          </w:r>
        </w:p>
        <w:p>
          <w:pPr>
            <w:pStyle w:val="Normal"/>
            <w:numPr>
              <w:ilvl w:val="0"/>
              <w:numId w:val="0"/>
            </w:numPr>
            <w:outlineLvl w:val="0"/>
            <w:rPr/>
          </w:pPr>
          <w:r>
            <w:rPr>
              <w:rFonts w:cs="Arial" w:ascii="Arial" w:hAnsi="Arial"/>
              <w:b/>
              <w:i/>
              <w:sz w:val="14"/>
            </w:rPr>
            <w:t>Steve Turk,</w:t>
          </w:r>
          <w:r>
            <w:rPr>
              <w:rFonts w:cs="Arial" w:ascii="Arial" w:hAnsi="Arial"/>
              <w:i/>
              <w:sz w:val="14"/>
            </w:rPr>
            <w:t xml:space="preserve"> VP</w:t>
          </w:r>
          <w:r>
            <w:rPr>
              <w:rFonts w:cs="Arial" w:ascii="Arial" w:hAnsi="Arial"/>
              <w:b/>
              <w:i/>
              <w:sz w:val="14"/>
            </w:rPr>
            <w:t xml:space="preserve"> </w:t>
          </w:r>
        </w:p>
        <w:p>
          <w:pPr>
            <w:pStyle w:val="Normal"/>
            <w:numPr>
              <w:ilvl w:val="0"/>
              <w:numId w:val="0"/>
            </w:numPr>
            <w:outlineLvl w:val="0"/>
            <w:rPr>
              <w:sz w:val="14"/>
            </w:rPr>
          </w:pPr>
          <w:r>
            <w:rPr>
              <w:rFonts w:cs="Arial" w:ascii="Arial" w:hAnsi="Arial"/>
              <w:b/>
              <w:i/>
              <w:sz w:val="14"/>
            </w:rPr>
            <w:t>Thomas J. Woods,</w:t>
          </w:r>
          <w:r>
            <w:rPr>
              <w:rFonts w:cs="Arial" w:ascii="Arial" w:hAnsi="Arial"/>
              <w:i/>
              <w:sz w:val="14"/>
            </w:rPr>
            <w:t xml:space="preserve"> VP</w:t>
          </w:r>
        </w:p>
      </w:tc>
      <w:tc>
        <w:tcPr>
          <w:tcW w:w="1800" w:type="dxa"/>
          <w:tcBorders/>
        </w:tcPr>
        <w:p>
          <w:pPr>
            <w:pStyle w:val="Normal"/>
            <w:numPr>
              <w:ilvl w:val="0"/>
              <w:numId w:val="0"/>
            </w:numPr>
            <w:outlineLvl w:val="0"/>
            <w:rPr/>
          </w:pPr>
          <w:r>
            <w:rPr>
              <w:rFonts w:cs="Arial" w:ascii="Arial" w:hAnsi="Arial"/>
              <w:b/>
              <w:i/>
              <w:sz w:val="14"/>
            </w:rPr>
            <w:t xml:space="preserve">Ron Ford, </w:t>
          </w:r>
          <w:r>
            <w:rPr>
              <w:rFonts w:cs="Arial" w:ascii="Arial" w:hAnsi="Arial"/>
              <w:i/>
              <w:sz w:val="14"/>
            </w:rPr>
            <w:t>Sr. Assoc.</w:t>
          </w:r>
        </w:p>
        <w:p>
          <w:pPr>
            <w:pStyle w:val="Normal"/>
            <w:numPr>
              <w:ilvl w:val="0"/>
              <w:numId w:val="0"/>
            </w:numPr>
            <w:outlineLvl w:val="0"/>
            <w:rPr>
              <w:rFonts w:ascii="Arial" w:hAnsi="Arial" w:cs="Arial"/>
              <w:b/>
              <w:i/>
              <w:i/>
              <w:sz w:val="14"/>
            </w:rPr>
          </w:pPr>
          <w:r>
            <w:rPr>
              <w:rFonts w:cs="Arial" w:ascii="Arial" w:hAnsi="Arial"/>
              <w:b/>
              <w:i/>
              <w:sz w:val="14"/>
            </w:rPr>
            <w:t>Janet Lynch,</w:t>
          </w:r>
          <w:r>
            <w:rPr>
              <w:rFonts w:cs="Arial" w:ascii="Arial" w:hAnsi="Arial"/>
              <w:i/>
              <w:sz w:val="14"/>
            </w:rPr>
            <w:t xml:space="preserve"> Sr. Assoc.</w:t>
          </w:r>
        </w:p>
        <w:p>
          <w:pPr>
            <w:pStyle w:val="Normal"/>
            <w:numPr>
              <w:ilvl w:val="0"/>
              <w:numId w:val="0"/>
            </w:numPr>
            <w:outlineLvl w:val="0"/>
            <w:rPr>
              <w:rFonts w:ascii="Arial" w:hAnsi="Arial" w:cs="Arial"/>
              <w:b/>
              <w:i/>
              <w:i/>
              <w:sz w:val="14"/>
            </w:rPr>
          </w:pPr>
          <w:r>
            <w:rPr>
              <w:rFonts w:cs="Arial" w:ascii="Arial" w:hAnsi="Arial"/>
              <w:b/>
              <w:i/>
              <w:sz w:val="14"/>
            </w:rPr>
            <w:t xml:space="preserve">Mike Erpenbeck, </w:t>
          </w:r>
          <w:r>
            <w:rPr>
              <w:rFonts w:cs="Arial" w:ascii="Arial" w:hAnsi="Arial"/>
              <w:i/>
              <w:sz w:val="14"/>
            </w:rPr>
            <w:t>Manager</w:t>
          </w:r>
        </w:p>
        <w:p>
          <w:pPr>
            <w:pStyle w:val="Normal"/>
            <w:numPr>
              <w:ilvl w:val="0"/>
              <w:numId w:val="0"/>
            </w:numPr>
            <w:outlineLvl w:val="0"/>
            <w:rPr/>
          </w:pPr>
          <w:r>
            <w:rPr>
              <w:rFonts w:cs="Arial" w:ascii="Arial" w:hAnsi="Arial"/>
              <w:b/>
              <w:i/>
              <w:sz w:val="14"/>
            </w:rPr>
            <w:t xml:space="preserve">Randy Schultz, </w:t>
          </w:r>
          <w:r>
            <w:rPr>
              <w:rFonts w:cs="Arial" w:ascii="Arial" w:hAnsi="Arial"/>
              <w:i/>
              <w:sz w:val="14"/>
            </w:rPr>
            <w:t>Manager</w:t>
          </w:r>
        </w:p>
        <w:p>
          <w:pPr>
            <w:pStyle w:val="Normal"/>
            <w:numPr>
              <w:ilvl w:val="0"/>
              <w:numId w:val="0"/>
            </w:numPr>
            <w:outlineLvl w:val="0"/>
            <w:rPr>
              <w:rFonts w:ascii="Arial" w:hAnsi="Arial" w:cs="Arial"/>
              <w:b/>
              <w:i/>
              <w:i/>
              <w:sz w:val="14"/>
            </w:rPr>
          </w:pPr>
          <w:r>
            <w:rPr>
              <w:rFonts w:cs="Arial" w:ascii="Arial" w:hAnsi="Arial"/>
              <w:b/>
              <w:i/>
              <w:sz w:val="1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next w:val="Normal"/>
    <w:qFormat/>
    <w:pPr>
      <w:keepNext w:val="true"/>
      <w:widowControl/>
      <w:numPr>
        <w:ilvl w:val="0"/>
        <w:numId w:val="1"/>
      </w:numPr>
      <w:bidi w:val="0"/>
      <w:outlineLvl w:val="0"/>
    </w:pPr>
    <w:rPr>
      <w:rFonts w:ascii="Arial" w:hAnsi="Arial" w:eastAsia="Times New Roman" w:cs="Arial"/>
      <w:b/>
      <w:caps/>
      <w:color w:val="auto"/>
      <w:kern w:val="2"/>
      <w:sz w:val="28"/>
      <w:szCs w:val="20"/>
      <w:lang w:val="en-GB" w:eastAsia="zh-CN" w:bidi="hi-IN"/>
    </w:rPr>
  </w:style>
  <w:style w:type="paragraph" w:styleId="Heading2">
    <w:name w:val="heading 2"/>
    <w:next w:val="Normal"/>
    <w:qFormat/>
    <w:pPr>
      <w:widowControl/>
      <w:numPr>
        <w:ilvl w:val="1"/>
        <w:numId w:val="1"/>
      </w:numPr>
      <w:bidi w:val="0"/>
      <w:outlineLvl w:val="1"/>
    </w:pPr>
    <w:rPr>
      <w:rFonts w:ascii="Arial" w:hAnsi="Arial" w:eastAsia="Times New Roman" w:cs="Arial"/>
      <w:b/>
      <w:color w:val="auto"/>
      <w:sz w:val="28"/>
      <w:szCs w:val="20"/>
      <w:lang w:val="en-CA" w:eastAsia="zh-CN" w:bidi="hi-IN"/>
    </w:rPr>
  </w:style>
  <w:style w:type="paragraph" w:styleId="Heading3">
    <w:name w:val="heading 3"/>
    <w:next w:val="Normal"/>
    <w:qFormat/>
    <w:pPr>
      <w:keepNext w:val="true"/>
      <w:widowControl/>
      <w:numPr>
        <w:ilvl w:val="2"/>
        <w:numId w:val="1"/>
      </w:numPr>
      <w:bidi w:val="0"/>
      <w:outlineLvl w:val="2"/>
    </w:pPr>
    <w:rPr>
      <w:rFonts w:ascii="Arial" w:hAnsi="Arial" w:eastAsia="Times New Roman" w:cs="Arial"/>
      <w:b/>
      <w:color w:val="auto"/>
      <w:sz w:val="24"/>
      <w:szCs w:val="20"/>
      <w:lang w:val="en-GB" w:eastAsia="zh-CN" w:bidi="hi-IN"/>
    </w:rPr>
  </w:style>
  <w:style w:type="paragraph" w:styleId="Heading4">
    <w:name w:val="heading 4"/>
    <w:next w:val="Normal"/>
    <w:qFormat/>
    <w:pPr>
      <w:keepNext w:val="true"/>
      <w:widowControl/>
      <w:numPr>
        <w:ilvl w:val="3"/>
        <w:numId w:val="1"/>
      </w:numPr>
      <w:tabs>
        <w:tab w:val="clear" w:pos="720"/>
        <w:tab w:val="left" w:pos="0" w:leader="none"/>
      </w:tabs>
      <w:bidi w:val="0"/>
      <w:outlineLvl w:val="3"/>
    </w:pPr>
    <w:rPr>
      <w:rFonts w:ascii="Times New Roman" w:hAnsi="Times New Roman" w:eastAsia="Times New Roman" w:cs="Times New Roman"/>
      <w:b/>
      <w:color w:val="auto"/>
      <w:sz w:val="24"/>
      <w:szCs w:val="20"/>
      <w:lang w:val="en-GB" w:eastAsia="zh-CN" w:bidi="hi-IN"/>
    </w:rPr>
  </w:style>
  <w:style w:type="paragraph" w:styleId="Heading5">
    <w:name w:val="heading 5"/>
    <w:next w:val="Normal"/>
    <w:qFormat/>
    <w:pPr>
      <w:widowControl/>
      <w:numPr>
        <w:ilvl w:val="4"/>
        <w:numId w:val="1"/>
      </w:numPr>
      <w:bidi w:val="0"/>
      <w:jc w:val="center"/>
      <w:outlineLvl w:val="4"/>
    </w:pPr>
    <w:rPr>
      <w:rFonts w:ascii="Arial" w:hAnsi="Arial" w:eastAsia="Times New Roman" w:cs="Arial"/>
      <w:b/>
      <w:caps/>
      <w:color w:val="auto"/>
      <w:sz w:val="32"/>
      <w:szCs w:val="20"/>
      <w:lang w:val="en-CA" w:eastAsia="zh-CN" w:bidi="hi-IN"/>
    </w:rPr>
  </w:style>
  <w:style w:type="paragraph" w:styleId="Heading6">
    <w:name w:val="heading 6"/>
    <w:next w:val="Normal"/>
    <w:qFormat/>
    <w:pPr>
      <w:keepNext w:val="true"/>
      <w:widowControl/>
      <w:numPr>
        <w:ilvl w:val="5"/>
        <w:numId w:val="1"/>
      </w:numPr>
      <w:bidi w:val="0"/>
      <w:jc w:val="center"/>
      <w:outlineLvl w:val="5"/>
    </w:pPr>
    <w:rPr>
      <w:rFonts w:ascii="Arial" w:hAnsi="Arial" w:eastAsia="Times New Roman" w:cs="Arial"/>
      <w:b/>
      <w:caps/>
      <w:color w:val="auto"/>
      <w:sz w:val="36"/>
      <w:szCs w:val="20"/>
      <w:lang w:val="en-GB" w:eastAsia="zh-CN" w:bidi="hi-IN"/>
    </w:rPr>
  </w:style>
  <w:style w:type="paragraph" w:styleId="Heading7">
    <w:name w:val="heading 7"/>
    <w:next w:val="Normal"/>
    <w:qFormat/>
    <w:pPr>
      <w:widowControl/>
      <w:numPr>
        <w:ilvl w:val="6"/>
        <w:numId w:val="1"/>
      </w:numPr>
      <w:bidi w:val="0"/>
      <w:jc w:val="center"/>
      <w:outlineLvl w:val="6"/>
    </w:pPr>
    <w:rPr>
      <w:rFonts w:ascii="Times New Roman" w:hAnsi="Times New Roman" w:eastAsia="Times New Roman" w:cs="Times New Roman"/>
      <w:b/>
      <w:color w:val="auto"/>
      <w:sz w:val="24"/>
      <w:szCs w:val="20"/>
      <w:lang w:val="en-CA" w:eastAsia="zh-CN" w:bidi="hi-IN"/>
    </w:rPr>
  </w:style>
  <w:style w:type="paragraph" w:styleId="Heading8">
    <w:name w:val="heading 8"/>
    <w:next w:val="Normal"/>
    <w:qFormat/>
    <w:pPr>
      <w:keepNext w:val="true"/>
      <w:widowControl/>
      <w:numPr>
        <w:ilvl w:val="7"/>
        <w:numId w:val="1"/>
      </w:numPr>
      <w:bidi w:val="0"/>
      <w:jc w:val="center"/>
      <w:outlineLvl w:val="7"/>
    </w:pPr>
    <w:rPr>
      <w:rFonts w:ascii="Arial" w:hAnsi="Arial" w:eastAsia="Times New Roman" w:cs="Arial"/>
      <w:b/>
      <w:caps/>
      <w:color w:val="auto"/>
      <w:sz w:val="32"/>
      <w:szCs w:val="20"/>
      <w:lang w:val="en-CA" w:eastAsia="zh-CN" w:bidi="hi-IN"/>
    </w:rPr>
  </w:style>
  <w:style w:type="paragraph" w:styleId="Heading9">
    <w:name w:val="heading 9"/>
    <w:next w:val="Normal"/>
    <w:qFormat/>
    <w:pPr>
      <w:keepNext w:val="true"/>
      <w:widowControl w:val="false"/>
      <w:numPr>
        <w:ilvl w:val="8"/>
        <w:numId w:val="1"/>
      </w:numPr>
      <w:bidi w:val="0"/>
      <w:jc w:val="center"/>
      <w:outlineLvl w:val="8"/>
    </w:pPr>
    <w:rPr>
      <w:rFonts w:ascii="Arial" w:hAnsi="Arial" w:eastAsia="Times New Roman" w:cs="Arial"/>
      <w:b/>
      <w:caps/>
      <w:color w:val="auto"/>
      <w:sz w:val="32"/>
      <w:szCs w:val="20"/>
      <w:lang w:val="en-GB" w:eastAsia="en-US"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lang w:val="en-GB"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ziff@ziffenergy.com" TargetMode="External"/><Relationship Id="rId4" Type="http://schemas.openxmlformats.org/officeDocument/2006/relationships/hyperlink" Target="mailto:ssoles@ziffenergy.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ZEG Letter.dot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2001-05-28T13:20:00Z</dcterms:created>
  <dc:creator>ShelleS</dc:creator>
  <dc:description/>
  <dc:language>en-CA</dc:language>
  <cp:lastModifiedBy>ShelleS</cp:lastModifiedBy>
  <cp:lastPrinted>2001-05-25T14:50:00Z</cp:lastPrinted>
  <dcterms:modified xsi:type="dcterms:W3CDTF">2001-05-28T13:20:00Z</dcterms:modified>
  <cp:revision>3</cp:revision>
  <dc:subject/>
  <dc:title>«Company»</dc:title>
</cp:coreProperties>
</file>